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1930" w14:textId="2317E26E" w:rsidR="00A32E7B" w:rsidRDefault="00A32E7B" w:rsidP="00310350">
      <w:pPr>
        <w:pStyle w:val="Heading1"/>
      </w:pPr>
      <w:r w:rsidRPr="00A32E7B">
        <w:t xml:space="preserve">NSTA </w:t>
      </w:r>
      <w:r w:rsidR="00DA6F4B">
        <w:t>GIS platform changes</w:t>
      </w:r>
    </w:p>
    <w:p w14:paraId="6A76AF27" w14:textId="77777777" w:rsidR="0095301B" w:rsidRPr="0095301B" w:rsidRDefault="0095301B" w:rsidP="0095301B"/>
    <w:p w14:paraId="4DB434E4" w14:textId="77777777" w:rsidR="00DA5C5C" w:rsidRPr="00DA5C5C" w:rsidRDefault="00DA5C5C" w:rsidP="00DA5C5C">
      <w:pPr>
        <w:rPr>
          <w:b/>
          <w:bCs/>
          <w:color w:val="003E52"/>
        </w:rPr>
      </w:pPr>
      <w:r w:rsidRPr="00DA5C5C">
        <w:rPr>
          <w:b/>
          <w:bCs/>
          <w:color w:val="003E52"/>
        </w:rPr>
        <w:t>What's happening?</w:t>
      </w:r>
    </w:p>
    <w:p w14:paraId="155DFDF3" w14:textId="68A66488" w:rsidR="00DA5C5C" w:rsidRPr="00DA5C5C" w:rsidRDefault="00DA5C5C" w:rsidP="00DA5C5C">
      <w:r>
        <w:t xml:space="preserve">The NSTA </w:t>
      </w:r>
      <w:r w:rsidR="00F0113D">
        <w:t>has</w:t>
      </w:r>
      <w:r>
        <w:t xml:space="preserve"> upgrad</w:t>
      </w:r>
      <w:r w:rsidR="00F0113D">
        <w:t>ed</w:t>
      </w:r>
      <w:r>
        <w:t xml:space="preserve"> its GIS platform and </w:t>
      </w:r>
      <w:r w:rsidR="00F0113D">
        <w:t>has moved</w:t>
      </w:r>
      <w:r>
        <w:t xml:space="preserve"> to a new architecture. </w:t>
      </w:r>
      <w:r w:rsidR="32951252">
        <w:t xml:space="preserve">Therefore, our services </w:t>
      </w:r>
      <w:r w:rsidR="006E6019">
        <w:t>are now</w:t>
      </w:r>
      <w:r w:rsidR="32951252">
        <w:t xml:space="preserve"> hosted on ArcGIS Online instead of our own ArcGIS servers</w:t>
      </w:r>
      <w:r w:rsidR="00C63055">
        <w:t>,</w:t>
      </w:r>
      <w:r w:rsidR="32951252">
        <w:t xml:space="preserve"> so the URLs for the data </w:t>
      </w:r>
      <w:r w:rsidR="00C63055">
        <w:t>have</w:t>
      </w:r>
      <w:r w:rsidR="32951252">
        <w:t xml:space="preserve"> change</w:t>
      </w:r>
      <w:r w:rsidR="00C63055">
        <w:t>d</w:t>
      </w:r>
      <w:r w:rsidR="32951252">
        <w:t xml:space="preserve">. </w:t>
      </w:r>
      <w:r>
        <w:t xml:space="preserve">The </w:t>
      </w:r>
      <w:r w:rsidR="003516A8">
        <w:t>URL</w:t>
      </w:r>
      <w:r>
        <w:t xml:space="preserve"> addresses for our interactive maps </w:t>
      </w:r>
      <w:r w:rsidR="0026741C">
        <w:t xml:space="preserve">have </w:t>
      </w:r>
      <w:r w:rsidR="004B49AD">
        <w:t xml:space="preserve">also </w:t>
      </w:r>
      <w:r>
        <w:t>change</w:t>
      </w:r>
      <w:r w:rsidR="0026741C">
        <w:t>d</w:t>
      </w:r>
      <w:r>
        <w:t xml:space="preserve"> as a result.  </w:t>
      </w:r>
    </w:p>
    <w:p w14:paraId="51E41510" w14:textId="77777777" w:rsidR="00DA5C5C" w:rsidRPr="00DA5C5C" w:rsidRDefault="00DA5C5C" w:rsidP="00DA5C5C">
      <w:r w:rsidRPr="00DA5C5C">
        <w:t> </w:t>
      </w:r>
    </w:p>
    <w:p w14:paraId="3608F316" w14:textId="77777777" w:rsidR="00DA5C5C" w:rsidRPr="00DA5C5C" w:rsidRDefault="00DA5C5C" w:rsidP="00DA5C5C">
      <w:pPr>
        <w:rPr>
          <w:b/>
          <w:bCs/>
          <w:color w:val="003E52"/>
        </w:rPr>
      </w:pPr>
      <w:r w:rsidRPr="00DA5C5C">
        <w:rPr>
          <w:b/>
          <w:bCs/>
          <w:color w:val="003E52"/>
        </w:rPr>
        <w:t>Why is it happening?</w:t>
      </w:r>
    </w:p>
    <w:p w14:paraId="40A0A37D" w14:textId="7906ECCE" w:rsidR="00B9395D" w:rsidRPr="004620B0" w:rsidRDefault="00981BAE" w:rsidP="00A32E7B">
      <w:pPr>
        <w:rPr>
          <w:b/>
          <w:bCs/>
        </w:rPr>
      </w:pPr>
      <w:r>
        <w:t xml:space="preserve">We </w:t>
      </w:r>
      <w:r w:rsidR="0026741C">
        <w:t>have</w:t>
      </w:r>
      <w:r>
        <w:t xml:space="preserve"> mov</w:t>
      </w:r>
      <w:r w:rsidR="0026741C">
        <w:t>ed</w:t>
      </w:r>
      <w:r>
        <w:t xml:space="preserve"> to an ArcGIS Online-hosted </w:t>
      </w:r>
      <w:r w:rsidR="221D27D7">
        <w:t>solution</w:t>
      </w:r>
      <w:r>
        <w:t xml:space="preserve">. As well as being the Esri-recommended approach for our ArcGIS platform, we hope this will lead to a more </w:t>
      </w:r>
      <w:r w:rsidR="0026741C">
        <w:t>reliable, streamlined</w:t>
      </w:r>
      <w:r w:rsidR="004620B0">
        <w:t xml:space="preserve"> Open Data experience </w:t>
      </w:r>
      <w:r w:rsidR="1762C834">
        <w:t xml:space="preserve">including </w:t>
      </w:r>
      <w:r w:rsidR="0026741C">
        <w:t>additional formats</w:t>
      </w:r>
      <w:r w:rsidR="004620B0">
        <w:t xml:space="preserve"> for data download.</w:t>
      </w:r>
      <w:r w:rsidR="004620B0" w:rsidRPr="7E1CF649">
        <w:rPr>
          <w:b/>
          <w:bCs/>
        </w:rPr>
        <w:t xml:space="preserve"> </w:t>
      </w:r>
    </w:p>
    <w:p w14:paraId="5C629918" w14:textId="77777777" w:rsidR="00315456" w:rsidRDefault="00315456" w:rsidP="00A32E7B"/>
    <w:p w14:paraId="39BDD128" w14:textId="1F19A513" w:rsidR="00315456" w:rsidRPr="008F5F9E" w:rsidRDefault="00315456" w:rsidP="00A32E7B">
      <w:pPr>
        <w:rPr>
          <w:b/>
          <w:bCs/>
          <w:color w:val="003E52"/>
        </w:rPr>
      </w:pPr>
      <w:r w:rsidRPr="008F5F9E">
        <w:rPr>
          <w:b/>
          <w:bCs/>
          <w:color w:val="003E52"/>
        </w:rPr>
        <w:t>When is it happening?</w:t>
      </w:r>
    </w:p>
    <w:p w14:paraId="45AA91F9" w14:textId="01429BE1" w:rsidR="26B4542B" w:rsidRDefault="001E76D6">
      <w:r>
        <w:t xml:space="preserve">The new platform </w:t>
      </w:r>
      <w:r w:rsidR="00B50AB4">
        <w:t>was</w:t>
      </w:r>
      <w:r w:rsidR="005C0012">
        <w:t xml:space="preserve"> published on the 22</w:t>
      </w:r>
      <w:r w:rsidR="005C0012" w:rsidRPr="005C0012">
        <w:rPr>
          <w:vertAlign w:val="superscript"/>
        </w:rPr>
        <w:t>nd</w:t>
      </w:r>
      <w:r w:rsidR="005C0012">
        <w:t xml:space="preserve"> of September 202</w:t>
      </w:r>
      <w:r w:rsidR="0007567D">
        <w:t>5</w:t>
      </w:r>
      <w:r w:rsidR="005C0012">
        <w:t>.</w:t>
      </w:r>
    </w:p>
    <w:p w14:paraId="2E799C0B" w14:textId="77777777" w:rsidR="00D72A08" w:rsidRDefault="00D72A08"/>
    <w:p w14:paraId="71C5277F" w14:textId="0A1729BA" w:rsidR="00BD41A2" w:rsidRDefault="2A9F7C8A" w:rsidP="00A32E7B">
      <w:pPr>
        <w:rPr>
          <w:b/>
          <w:bCs/>
          <w:color w:val="003E52"/>
        </w:rPr>
      </w:pPr>
      <w:r w:rsidRPr="7D3E9AB1">
        <w:rPr>
          <w:b/>
          <w:bCs/>
          <w:color w:val="003E52"/>
        </w:rPr>
        <w:t>What do I need to do?</w:t>
      </w:r>
    </w:p>
    <w:p w14:paraId="30314F27" w14:textId="16C8D73A" w:rsidR="004F1AD1" w:rsidRDefault="2A9F7C8A" w:rsidP="648D92EA">
      <w:r>
        <w:t xml:space="preserve">As the URLs and APIs </w:t>
      </w:r>
      <w:r w:rsidR="0026741C">
        <w:t>have</w:t>
      </w:r>
      <w:r>
        <w:t xml:space="preserve"> change</w:t>
      </w:r>
      <w:r w:rsidR="0026741C">
        <w:t>d</w:t>
      </w:r>
      <w:r>
        <w:t xml:space="preserve"> </w:t>
      </w:r>
      <w:proofErr w:type="gramStart"/>
      <w:r>
        <w:t>as a result of</w:t>
      </w:r>
      <w:proofErr w:type="gramEnd"/>
      <w:r>
        <w:t xml:space="preserve"> this migration</w:t>
      </w:r>
      <w:r w:rsidR="0026741C">
        <w:t>,</w:t>
      </w:r>
      <w:r>
        <w:t xml:space="preserve"> you </w:t>
      </w:r>
      <w:r w:rsidR="0026741C">
        <w:t>will need</w:t>
      </w:r>
      <w:r>
        <w:t xml:space="preserve"> to update </w:t>
      </w:r>
      <w:r w:rsidR="7824F7E1">
        <w:t xml:space="preserve">any </w:t>
      </w:r>
      <w:r>
        <w:t xml:space="preserve">internal </w:t>
      </w:r>
      <w:r w:rsidR="0D49017F">
        <w:t xml:space="preserve">links </w:t>
      </w:r>
      <w:r>
        <w:t>to</w:t>
      </w:r>
      <w:r w:rsidR="0026741C">
        <w:t xml:space="preserve"> continue to</w:t>
      </w:r>
      <w:r>
        <w:t xml:space="preserve"> use these </w:t>
      </w:r>
      <w:r w:rsidR="5358CAE8">
        <w:t>services</w:t>
      </w:r>
      <w:r>
        <w:t>.</w:t>
      </w:r>
      <w:r w:rsidR="262A9701">
        <w:t xml:space="preserve"> We </w:t>
      </w:r>
      <w:r w:rsidR="0026741C">
        <w:t xml:space="preserve">have </w:t>
      </w:r>
      <w:r w:rsidR="262A9701">
        <w:t>provide</w:t>
      </w:r>
      <w:r w:rsidR="0026741C">
        <w:t>d</w:t>
      </w:r>
      <w:r w:rsidR="262A9701">
        <w:t xml:space="preserve"> look up table</w:t>
      </w:r>
      <w:r w:rsidR="00530281">
        <w:t>s</w:t>
      </w:r>
      <w:r w:rsidR="262A9701">
        <w:t xml:space="preserve"> </w:t>
      </w:r>
      <w:r w:rsidR="7FF27874">
        <w:t xml:space="preserve">of </w:t>
      </w:r>
      <w:r w:rsidR="262A9701">
        <w:t xml:space="preserve">the new links for </w:t>
      </w:r>
      <w:r w:rsidR="004F1AD1">
        <w:t>our products and</w:t>
      </w:r>
      <w:r w:rsidR="262A9701">
        <w:t xml:space="preserve"> datasets.</w:t>
      </w:r>
      <w:r w:rsidR="00530281">
        <w:t xml:space="preserve"> </w:t>
      </w:r>
      <w:r w:rsidR="00705466">
        <w:t xml:space="preserve">These are linked </w:t>
      </w:r>
      <w:r w:rsidR="004F1AD1">
        <w:t xml:space="preserve">here and </w:t>
      </w:r>
      <w:r w:rsidR="00705466">
        <w:t>through the document below</w:t>
      </w:r>
      <w:r w:rsidR="004F1AD1">
        <w:t>:</w:t>
      </w:r>
    </w:p>
    <w:p w14:paraId="354A0B94" w14:textId="42B40F8C" w:rsidR="004F1AD1" w:rsidRDefault="006E0AE5" w:rsidP="004F1AD1">
      <w:pPr>
        <w:pStyle w:val="ListParagraph"/>
        <w:numPr>
          <w:ilvl w:val="0"/>
          <w:numId w:val="12"/>
        </w:numPr>
      </w:pPr>
      <w:hyperlink r:id="rId8" w:history="1">
        <w:r w:rsidRPr="00A20C1E">
          <w:rPr>
            <w:rStyle w:val="Hyperlink"/>
          </w:rPr>
          <w:t>GIS Services</w:t>
        </w:r>
      </w:hyperlink>
    </w:p>
    <w:p w14:paraId="7A2E9D46" w14:textId="5B7C48A3" w:rsidR="00A20C1E" w:rsidRDefault="00484E73" w:rsidP="004F1AD1">
      <w:pPr>
        <w:pStyle w:val="ListParagraph"/>
        <w:numPr>
          <w:ilvl w:val="0"/>
          <w:numId w:val="12"/>
        </w:numPr>
      </w:pPr>
      <w:hyperlink r:id="rId9" w:history="1">
        <w:r w:rsidRPr="00484E73">
          <w:rPr>
            <w:rStyle w:val="Hyperlink"/>
          </w:rPr>
          <w:t>Dataset Schema</w:t>
        </w:r>
      </w:hyperlink>
    </w:p>
    <w:p w14:paraId="100CBCF3" w14:textId="074D23FB" w:rsidR="00776D41" w:rsidRDefault="00776D41" w:rsidP="004F1AD1">
      <w:pPr>
        <w:pStyle w:val="ListParagraph"/>
        <w:numPr>
          <w:ilvl w:val="0"/>
          <w:numId w:val="12"/>
        </w:numPr>
      </w:pPr>
      <w:hyperlink r:id="rId10" w:history="1">
        <w:r w:rsidRPr="00776D41">
          <w:rPr>
            <w:rStyle w:val="Hyperlink"/>
          </w:rPr>
          <w:t>Maps and Apps</w:t>
        </w:r>
      </w:hyperlink>
    </w:p>
    <w:p w14:paraId="1E6C1239" w14:textId="02A7E03D" w:rsidR="648D92EA" w:rsidRDefault="648D92EA" w:rsidP="648D92EA"/>
    <w:p w14:paraId="70202D19" w14:textId="77777777" w:rsidR="00CE0574" w:rsidRDefault="00BD41A2" w:rsidP="00A32E7B">
      <w:r w:rsidRPr="7565347A">
        <w:rPr>
          <w:b/>
          <w:bCs/>
          <w:color w:val="003E52"/>
        </w:rPr>
        <w:t xml:space="preserve">Please </w:t>
      </w:r>
      <w:r w:rsidR="00A71105" w:rsidRPr="7565347A">
        <w:rPr>
          <w:b/>
          <w:bCs/>
          <w:color w:val="003E52"/>
        </w:rPr>
        <w:t>note</w:t>
      </w:r>
      <w:r>
        <w:t xml:space="preserve"> </w:t>
      </w:r>
      <w:r w:rsidR="0017562A">
        <w:t>there</w:t>
      </w:r>
      <w:r w:rsidR="004E074A">
        <w:t xml:space="preserve"> will </w:t>
      </w:r>
      <w:r w:rsidR="00F63FE5">
        <w:t xml:space="preserve">be an </w:t>
      </w:r>
      <w:r w:rsidR="00B96A50">
        <w:t>8-week</w:t>
      </w:r>
      <w:r w:rsidR="004E074A">
        <w:t xml:space="preserve"> period </w:t>
      </w:r>
      <w:r w:rsidR="00D05840">
        <w:t>starting the 22</w:t>
      </w:r>
      <w:r w:rsidR="00D05840" w:rsidRPr="00D05840">
        <w:rPr>
          <w:vertAlign w:val="superscript"/>
        </w:rPr>
        <w:t>nd</w:t>
      </w:r>
      <w:r w:rsidR="00D05840">
        <w:t xml:space="preserve"> of September 2025 where</w:t>
      </w:r>
      <w:r w:rsidR="004E074A">
        <w:t xml:space="preserve"> </w:t>
      </w:r>
      <w:r w:rsidR="00A77220">
        <w:t>both the old and new platforms</w:t>
      </w:r>
      <w:r w:rsidR="00BF1EAE">
        <w:t xml:space="preserve"> will be</w:t>
      </w:r>
      <w:r w:rsidR="00A77220">
        <w:t xml:space="preserve"> running </w:t>
      </w:r>
      <w:r w:rsidR="001E4F8D">
        <w:t xml:space="preserve">simultaneously </w:t>
      </w:r>
      <w:r w:rsidR="00A77220">
        <w:t xml:space="preserve">to allow </w:t>
      </w:r>
      <w:r w:rsidR="00FF27BF">
        <w:t xml:space="preserve">users </w:t>
      </w:r>
      <w:r w:rsidR="001E4F8D">
        <w:t xml:space="preserve">time </w:t>
      </w:r>
      <w:r w:rsidR="00FF27BF">
        <w:t>to make the necessary changes</w:t>
      </w:r>
      <w:r w:rsidR="001E4F8D">
        <w:t xml:space="preserve"> before the old platform is </w:t>
      </w:r>
      <w:r w:rsidR="4A940DD1">
        <w:t>decommissioned</w:t>
      </w:r>
      <w:r w:rsidR="00FF27BF">
        <w:t xml:space="preserve">. </w:t>
      </w:r>
    </w:p>
    <w:p w14:paraId="47AAB55F" w14:textId="7CA262FB" w:rsidR="00CE0574" w:rsidRPr="00CE0574" w:rsidRDefault="00CE0574" w:rsidP="00A32E7B">
      <w:pPr>
        <w:rPr>
          <w:b/>
          <w:bCs/>
        </w:rPr>
      </w:pPr>
      <w:r w:rsidRPr="00CE0574">
        <w:rPr>
          <w:b/>
          <w:bCs/>
        </w:rPr>
        <w:t>The old services and open data site will start decommissioning the week of 17</w:t>
      </w:r>
      <w:r w:rsidRPr="00CE0574">
        <w:rPr>
          <w:b/>
          <w:bCs/>
          <w:vertAlign w:val="superscript"/>
        </w:rPr>
        <w:t>th</w:t>
      </w:r>
      <w:r w:rsidRPr="00CE0574">
        <w:rPr>
          <w:b/>
          <w:bCs/>
        </w:rPr>
        <w:t xml:space="preserve"> November.</w:t>
      </w:r>
    </w:p>
    <w:p w14:paraId="73A7634E" w14:textId="1D6F08A0" w:rsidR="00BD41A2" w:rsidRDefault="00BF1EAE" w:rsidP="00A32E7B">
      <w:r>
        <w:t>If you have any questions, please contact the GIS team: gis</w:t>
      </w:r>
      <w:r w:rsidR="00875B60">
        <w:t>@nstauthority.co.uk.</w:t>
      </w:r>
    </w:p>
    <w:p w14:paraId="02E7DEF2" w14:textId="77777777" w:rsidR="00864989" w:rsidRDefault="00864989" w:rsidP="00A32E7B"/>
    <w:p w14:paraId="39B35CEC" w14:textId="77777777" w:rsidR="001E6260" w:rsidRDefault="001E6260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2CE5FD8" w14:textId="3BF4CEEE" w:rsidR="00A32E7B" w:rsidRPr="00A32E7B" w:rsidRDefault="00DE7702" w:rsidP="00A90230">
      <w:pPr>
        <w:pStyle w:val="Heading1"/>
      </w:pPr>
      <w:r>
        <w:lastRenderedPageBreak/>
        <w:t>Open Data</w:t>
      </w:r>
      <w:r w:rsidR="00B70004">
        <w:t xml:space="preserve"> site</w:t>
      </w:r>
      <w:r w:rsidR="00A32E7B" w:rsidRPr="00A32E7B">
        <w:t xml:space="preserve"> URL</w:t>
      </w:r>
      <w:r w:rsidR="00995EB8" w:rsidRPr="00DC1024">
        <w:t xml:space="preserve"> changes</w:t>
      </w:r>
    </w:p>
    <w:p w14:paraId="0727B35D" w14:textId="77777777" w:rsidR="00934025" w:rsidRDefault="00934025" w:rsidP="00934025">
      <w:pPr>
        <w:rPr>
          <w:sz w:val="21"/>
          <w:szCs w:val="21"/>
        </w:rPr>
      </w:pPr>
      <w:r w:rsidRPr="00A32E7B">
        <w:rPr>
          <w:b/>
          <w:bCs/>
          <w:color w:val="003E52"/>
        </w:rPr>
        <w:t>Action Required:</w:t>
      </w:r>
      <w:r w:rsidRPr="005B7823">
        <w:rPr>
          <w:color w:val="003E52"/>
          <w:sz w:val="21"/>
          <w:szCs w:val="21"/>
        </w:rPr>
        <w:t xml:space="preserve"> </w:t>
      </w:r>
      <w:r w:rsidRPr="00995EB8">
        <w:rPr>
          <w:sz w:val="21"/>
          <w:szCs w:val="21"/>
        </w:rPr>
        <w:t>Be ready to update/replace existing bookmarks accordingly.</w:t>
      </w:r>
    </w:p>
    <w:p w14:paraId="579CC2CB" w14:textId="138F5CBB" w:rsidR="00934025" w:rsidRPr="001067A4" w:rsidRDefault="00934025" w:rsidP="001067A4">
      <w:pPr>
        <w:rPr>
          <w:b/>
          <w:bCs/>
          <w:color w:val="003E52"/>
        </w:rPr>
      </w:pPr>
      <w:r w:rsidRPr="001067A4">
        <w:rPr>
          <w:b/>
          <w:bCs/>
          <w:color w:val="003E52"/>
        </w:rPr>
        <w:t>Details:</w:t>
      </w:r>
    </w:p>
    <w:p w14:paraId="3896CE90" w14:textId="53875132" w:rsidR="00995EB8" w:rsidRDefault="00995EB8" w:rsidP="001067A4">
      <w:r w:rsidRPr="00995EB8">
        <w:t xml:space="preserve">The following URLs </w:t>
      </w:r>
      <w:r w:rsidR="00875B60">
        <w:t>have been</w:t>
      </w:r>
      <w:r w:rsidRPr="008F5F9E">
        <w:t xml:space="preserve"> updated</w:t>
      </w:r>
      <w:r w:rsidRPr="0051076E">
        <w:t xml:space="preserve">. </w:t>
      </w:r>
      <w:r w:rsidRPr="00995EB8">
        <w:t>Please replace any existing bookmarks when these changes take effect: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3776"/>
      </w:tblGrid>
      <w:tr w:rsidR="00B2157A" w14:paraId="32487B1F" w14:textId="77777777" w:rsidTr="20496E6D">
        <w:tc>
          <w:tcPr>
            <w:tcW w:w="2410" w:type="dxa"/>
          </w:tcPr>
          <w:p w14:paraId="3BCFD8AB" w14:textId="17235101" w:rsidR="00B2157A" w:rsidRPr="00D4281F" w:rsidRDefault="00B2157A" w:rsidP="00D4281F">
            <w:pPr>
              <w:jc w:val="center"/>
              <w:rPr>
                <w:b/>
                <w:color w:val="003E52"/>
                <w:sz w:val="24"/>
                <w:szCs w:val="24"/>
              </w:rPr>
            </w:pPr>
            <w:r w:rsidRPr="00D4281F">
              <w:rPr>
                <w:b/>
                <w:color w:val="003E52"/>
                <w:sz w:val="24"/>
                <w:szCs w:val="24"/>
              </w:rPr>
              <w:t>Page</w:t>
            </w:r>
          </w:p>
        </w:tc>
        <w:tc>
          <w:tcPr>
            <w:tcW w:w="2835" w:type="dxa"/>
          </w:tcPr>
          <w:p w14:paraId="2FB7F602" w14:textId="5F073F1E" w:rsidR="00B2157A" w:rsidRPr="00D4281F" w:rsidRDefault="00B2157A" w:rsidP="00D4281F">
            <w:pPr>
              <w:jc w:val="center"/>
              <w:rPr>
                <w:b/>
                <w:color w:val="003E52"/>
                <w:sz w:val="24"/>
                <w:szCs w:val="24"/>
              </w:rPr>
            </w:pPr>
            <w:r w:rsidRPr="00D4281F">
              <w:rPr>
                <w:b/>
                <w:color w:val="003E52"/>
                <w:sz w:val="24"/>
                <w:szCs w:val="24"/>
              </w:rPr>
              <w:t>Old</w:t>
            </w:r>
          </w:p>
        </w:tc>
        <w:tc>
          <w:tcPr>
            <w:tcW w:w="3776" w:type="dxa"/>
          </w:tcPr>
          <w:p w14:paraId="3F65750E" w14:textId="6707626B" w:rsidR="00B2157A" w:rsidRPr="00D4281F" w:rsidRDefault="00B2157A" w:rsidP="00D4281F">
            <w:pPr>
              <w:jc w:val="center"/>
              <w:rPr>
                <w:b/>
                <w:color w:val="003E52"/>
                <w:sz w:val="24"/>
                <w:szCs w:val="24"/>
              </w:rPr>
            </w:pPr>
            <w:r w:rsidRPr="00D4281F">
              <w:rPr>
                <w:b/>
                <w:color w:val="003E52"/>
                <w:sz w:val="24"/>
                <w:szCs w:val="24"/>
              </w:rPr>
              <w:t>New</w:t>
            </w:r>
          </w:p>
        </w:tc>
      </w:tr>
      <w:tr w:rsidR="00B2157A" w14:paraId="7C90119B" w14:textId="77777777" w:rsidTr="20496E6D">
        <w:tc>
          <w:tcPr>
            <w:tcW w:w="2410" w:type="dxa"/>
            <w:vAlign w:val="center"/>
          </w:tcPr>
          <w:p w14:paraId="21A8105B" w14:textId="34703709" w:rsidR="00B2157A" w:rsidRDefault="00B2157A" w:rsidP="00D4281F">
            <w:pPr>
              <w:jc w:val="center"/>
              <w:rPr>
                <w:b/>
                <w:bCs/>
                <w:color w:val="003E52"/>
              </w:rPr>
            </w:pPr>
            <w:r>
              <w:rPr>
                <w:b/>
                <w:bCs/>
                <w:color w:val="003E52"/>
              </w:rPr>
              <w:t>ArcGIS Online (AGOL) organisation</w:t>
            </w:r>
          </w:p>
        </w:tc>
        <w:tc>
          <w:tcPr>
            <w:tcW w:w="2835" w:type="dxa"/>
            <w:vAlign w:val="center"/>
          </w:tcPr>
          <w:p w14:paraId="47884076" w14:textId="1751DF1A" w:rsidR="00B2157A" w:rsidRPr="00D4281F" w:rsidRDefault="00761888" w:rsidP="00D4281F">
            <w:pPr>
              <w:jc w:val="center"/>
              <w:rPr>
                <w:color w:val="003E52"/>
                <w:sz w:val="21"/>
                <w:szCs w:val="21"/>
              </w:rPr>
            </w:pPr>
            <w:hyperlink r:id="rId11" w:history="1">
              <w:r w:rsidRPr="00D4281F">
                <w:rPr>
                  <w:rStyle w:val="Hyperlink"/>
                  <w:sz w:val="21"/>
                  <w:szCs w:val="21"/>
                </w:rPr>
                <w:t>https://nstauthority.maps.arcgis.com/home/index.html</w:t>
              </w:r>
            </w:hyperlink>
            <w:r>
              <w:rPr>
                <w:color w:val="003E52"/>
                <w:sz w:val="21"/>
                <w:szCs w:val="21"/>
                <w:highlight w:val="yellow"/>
              </w:rPr>
              <w:t xml:space="preserve"> </w:t>
            </w:r>
          </w:p>
        </w:tc>
        <w:tc>
          <w:tcPr>
            <w:tcW w:w="3776" w:type="dxa"/>
            <w:vAlign w:val="center"/>
          </w:tcPr>
          <w:p w14:paraId="511DBAB2" w14:textId="0A9147A3" w:rsidR="00B2157A" w:rsidRPr="003A27D3" w:rsidRDefault="585927D9" w:rsidP="00D4281F">
            <w:pPr>
              <w:jc w:val="center"/>
              <w:rPr>
                <w:b/>
                <w:bCs/>
                <w:color w:val="003E52"/>
              </w:rPr>
            </w:pPr>
            <w:r w:rsidRPr="20496E6D">
              <w:rPr>
                <w:b/>
                <w:bCs/>
                <w:color w:val="003E52"/>
              </w:rPr>
              <w:t>https://ukcs-transition.maps.arcgis.com/home/index.html</w:t>
            </w:r>
          </w:p>
        </w:tc>
      </w:tr>
      <w:tr w:rsidR="0032030A" w14:paraId="10E8759D" w14:textId="77777777" w:rsidTr="20496E6D">
        <w:tc>
          <w:tcPr>
            <w:tcW w:w="2410" w:type="dxa"/>
            <w:vAlign w:val="center"/>
          </w:tcPr>
          <w:p w14:paraId="2E5905F6" w14:textId="7FE83BD9" w:rsidR="0032030A" w:rsidRDefault="0032030A" w:rsidP="00D4281F">
            <w:pPr>
              <w:jc w:val="center"/>
              <w:rPr>
                <w:b/>
                <w:bCs/>
                <w:color w:val="003E52"/>
              </w:rPr>
            </w:pPr>
            <w:r>
              <w:rPr>
                <w:b/>
                <w:bCs/>
                <w:color w:val="003E52"/>
              </w:rPr>
              <w:t>Open Data site</w:t>
            </w:r>
          </w:p>
        </w:tc>
        <w:tc>
          <w:tcPr>
            <w:tcW w:w="2835" w:type="dxa"/>
            <w:vAlign w:val="center"/>
          </w:tcPr>
          <w:p w14:paraId="28468403" w14:textId="2344B47E" w:rsidR="0032030A" w:rsidRPr="00D4281F" w:rsidRDefault="00ED1E46" w:rsidP="00D4281F">
            <w:pPr>
              <w:jc w:val="center"/>
              <w:rPr>
                <w:color w:val="003E52"/>
                <w:sz w:val="21"/>
                <w:szCs w:val="21"/>
                <w:highlight w:val="yellow"/>
              </w:rPr>
            </w:pPr>
            <w:hyperlink r:id="rId12" w:history="1">
              <w:r w:rsidRPr="00D4281F">
                <w:rPr>
                  <w:rStyle w:val="Hyperlink"/>
                  <w:sz w:val="21"/>
                  <w:szCs w:val="21"/>
                </w:rPr>
                <w:t>https://opendata-nstauthority.hub.arcgis.com/search</w:t>
              </w:r>
            </w:hyperlink>
          </w:p>
        </w:tc>
        <w:tc>
          <w:tcPr>
            <w:tcW w:w="3776" w:type="dxa"/>
            <w:vAlign w:val="center"/>
          </w:tcPr>
          <w:p w14:paraId="3443322B" w14:textId="276BC167" w:rsidR="0032030A" w:rsidRPr="00D4281F" w:rsidRDefault="45C9B968" w:rsidP="4C00BA61">
            <w:pPr>
              <w:jc w:val="center"/>
              <w:rPr>
                <w:b/>
                <w:bCs/>
                <w:color w:val="003E52"/>
              </w:rPr>
            </w:pPr>
            <w:r w:rsidRPr="20496E6D">
              <w:rPr>
                <w:b/>
                <w:bCs/>
                <w:color w:val="003E52"/>
              </w:rPr>
              <w:t xml:space="preserve"> https://open-data-ukcs-transition.hub.arcgis.com/search</w:t>
            </w:r>
          </w:p>
        </w:tc>
      </w:tr>
    </w:tbl>
    <w:p w14:paraId="2A607E07" w14:textId="77777777" w:rsidR="00D72A08" w:rsidRDefault="00D72A08" w:rsidP="00A90230">
      <w:pPr>
        <w:pStyle w:val="Heading1"/>
      </w:pPr>
    </w:p>
    <w:p w14:paraId="4583E9CA" w14:textId="4BFC5548" w:rsidR="00A32E7B" w:rsidRPr="00A32E7B" w:rsidRDefault="00A32E7B" w:rsidP="00A90230">
      <w:pPr>
        <w:pStyle w:val="Heading1"/>
      </w:pPr>
      <w:r w:rsidRPr="00A32E7B">
        <w:t xml:space="preserve">Dataset </w:t>
      </w:r>
      <w:r w:rsidR="008C5820" w:rsidRPr="005B7823">
        <w:t>l</w:t>
      </w:r>
      <w:r w:rsidRPr="00A32E7B">
        <w:t xml:space="preserve">ayer </w:t>
      </w:r>
      <w:r w:rsidR="008C5820" w:rsidRPr="005B7823">
        <w:t>s</w:t>
      </w:r>
      <w:r w:rsidRPr="00A32E7B">
        <w:t xml:space="preserve">tructure </w:t>
      </w:r>
      <w:r w:rsidR="008C5820" w:rsidRPr="005B7823">
        <w:t>c</w:t>
      </w:r>
      <w:r w:rsidRPr="00A32E7B">
        <w:t>hanges</w:t>
      </w:r>
    </w:p>
    <w:p w14:paraId="0556A166" w14:textId="6752DA8D" w:rsidR="003A6217" w:rsidRPr="00A32E7B" w:rsidRDefault="003A6217" w:rsidP="003A6217">
      <w:r w:rsidRPr="00A32E7B">
        <w:rPr>
          <w:b/>
          <w:bCs/>
          <w:color w:val="003E52"/>
        </w:rPr>
        <w:t>Action Required:</w:t>
      </w:r>
      <w:r w:rsidRPr="00A32E7B">
        <w:rPr>
          <w:color w:val="003E52"/>
        </w:rPr>
        <w:t xml:space="preserve"> </w:t>
      </w:r>
      <w:r w:rsidRPr="00995EB8">
        <w:t xml:space="preserve">If you have projects </w:t>
      </w:r>
      <w:r w:rsidR="00553DBB">
        <w:t>or processes</w:t>
      </w:r>
      <w:r w:rsidRPr="00995EB8">
        <w:t xml:space="preserve"> that currently rely on grouped layers,</w:t>
      </w:r>
      <w:r w:rsidR="00875B60">
        <w:t xml:space="preserve"> </w:t>
      </w:r>
      <w:r w:rsidR="00B77520">
        <w:t>change them according</w:t>
      </w:r>
      <w:r w:rsidR="00346122">
        <w:t>ly</w:t>
      </w:r>
      <w:r w:rsidRPr="00995EB8">
        <w:t>.</w:t>
      </w:r>
    </w:p>
    <w:p w14:paraId="58629D64" w14:textId="77777777" w:rsidR="003A6217" w:rsidRPr="003A6217" w:rsidRDefault="003A6217" w:rsidP="00A32E7B">
      <w:pPr>
        <w:rPr>
          <w:b/>
          <w:bCs/>
          <w:color w:val="003E52"/>
        </w:rPr>
      </w:pPr>
      <w:r w:rsidRPr="003A6217">
        <w:rPr>
          <w:b/>
          <w:bCs/>
          <w:color w:val="003E52"/>
        </w:rPr>
        <w:t>Details:</w:t>
      </w:r>
    </w:p>
    <w:p w14:paraId="70ACD561" w14:textId="7677CF1B" w:rsidR="00A32E7B" w:rsidRPr="00A32E7B" w:rsidRDefault="6C5C3E6F" w:rsidP="00A32E7B">
      <w:r>
        <w:t>Previously, multiple data layers were grouped</w:t>
      </w:r>
      <w:r w:rsidR="00302822">
        <w:t>. For example,</w:t>
      </w:r>
      <w:r>
        <w:t xml:space="preserve"> </w:t>
      </w:r>
      <w:r w:rsidR="0A04FD32">
        <w:t>UKCS_Wells</w:t>
      </w:r>
      <w:r w:rsidR="00CC12BF">
        <w:t>_</w:t>
      </w:r>
      <w:r w:rsidR="0A04FD32">
        <w:t>WGS84</w:t>
      </w:r>
      <w:r w:rsidR="0F5CFC8F">
        <w:t xml:space="preserve"> ha</w:t>
      </w:r>
      <w:r w:rsidR="009C7A22">
        <w:t>d</w:t>
      </w:r>
      <w:r w:rsidR="0F5CFC8F">
        <w:t xml:space="preserve"> </w:t>
      </w:r>
      <w:r w:rsidR="00302822">
        <w:t xml:space="preserve">the </w:t>
      </w:r>
      <w:r w:rsidR="0F5CFC8F">
        <w:t xml:space="preserve">layers top holes, bottom holes and </w:t>
      </w:r>
      <w:r w:rsidR="61684649">
        <w:t>straight-line</w:t>
      </w:r>
      <w:r w:rsidR="0F5CFC8F">
        <w:t xml:space="preserve"> connections in one </w:t>
      </w:r>
      <w:r w:rsidR="61684649">
        <w:t xml:space="preserve">feature </w:t>
      </w:r>
      <w:r w:rsidR="0F5CFC8F">
        <w:t>service laye</w:t>
      </w:r>
      <w:r w:rsidR="61684649">
        <w:t>r</w:t>
      </w:r>
      <w:r>
        <w:t>.</w:t>
      </w:r>
    </w:p>
    <w:p w14:paraId="3182D2C4" w14:textId="25095CC1" w:rsidR="00A32E7B" w:rsidRDefault="00A32E7B" w:rsidP="003A6217">
      <w:r w:rsidRPr="00A32E7B">
        <w:t xml:space="preserve">Each dataset </w:t>
      </w:r>
      <w:r w:rsidR="00714AEA">
        <w:t>is</w:t>
      </w:r>
      <w:r w:rsidR="00995EB8">
        <w:t xml:space="preserve"> </w:t>
      </w:r>
      <w:r w:rsidR="00F25600">
        <w:t>now in</w:t>
      </w:r>
      <w:r w:rsidRPr="00A32E7B">
        <w:t xml:space="preserve"> individual layer</w:t>
      </w:r>
      <w:r w:rsidR="00F25600">
        <w:t>s</w:t>
      </w:r>
      <w:r w:rsidRPr="00A32E7B">
        <w:t xml:space="preserve"> with unique </w:t>
      </w:r>
      <w:r w:rsidR="00F25600">
        <w:t>IDs</w:t>
      </w:r>
      <w:r w:rsidRPr="00A32E7B">
        <w:t>.</w:t>
      </w:r>
    </w:p>
    <w:p w14:paraId="60875DE1" w14:textId="04F64089" w:rsidR="003A27D3" w:rsidRDefault="003A27D3" w:rsidP="003A27D3">
      <w:pPr>
        <w:rPr>
          <w:b/>
          <w:bCs/>
          <w:color w:val="003E52"/>
        </w:rPr>
      </w:pPr>
      <w:r>
        <w:rPr>
          <w:b/>
          <w:bCs/>
          <w:color w:val="003E52"/>
        </w:rPr>
        <w:t>Example</w:t>
      </w:r>
      <w:r w:rsidR="00760C12">
        <w:rPr>
          <w:b/>
          <w:bCs/>
          <w:color w:val="003E52"/>
        </w:rPr>
        <w:t xml:space="preserve"> </w:t>
      </w:r>
      <w:r w:rsidR="00E506D3">
        <w:rPr>
          <w:b/>
          <w:bCs/>
          <w:color w:val="003E52"/>
        </w:rPr>
        <w:t>within</w:t>
      </w:r>
      <w:r w:rsidR="00760C12">
        <w:rPr>
          <w:b/>
          <w:bCs/>
          <w:color w:val="003E52"/>
        </w:rPr>
        <w:t xml:space="preserve"> ArcGIS Pro</w:t>
      </w:r>
      <w:r w:rsidR="002C5C35">
        <w:rPr>
          <w:b/>
          <w:bCs/>
          <w:color w:val="003E5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7"/>
        <w:gridCol w:w="5159"/>
      </w:tblGrid>
      <w:tr w:rsidR="005971FF" w14:paraId="2023CB38" w14:textId="77777777" w:rsidTr="005971FF">
        <w:tc>
          <w:tcPr>
            <w:tcW w:w="4508" w:type="dxa"/>
          </w:tcPr>
          <w:p w14:paraId="17A5D1F0" w14:textId="5C83D79A" w:rsidR="005971FF" w:rsidRDefault="00DF508A" w:rsidP="003A27D3">
            <w:pPr>
              <w:rPr>
                <w:b/>
                <w:bCs/>
                <w:color w:val="003E52"/>
              </w:rPr>
            </w:pPr>
            <w:r w:rsidRPr="00712AAE">
              <w:rPr>
                <w:b/>
                <w:bCs/>
                <w:noProof/>
                <w:color w:val="003E52"/>
              </w:rPr>
              <w:drawing>
                <wp:anchor distT="0" distB="0" distL="114300" distR="114300" simplePos="0" relativeHeight="251658240" behindDoc="0" locked="0" layoutInCell="1" allowOverlap="1" wp14:anchorId="48F326AE" wp14:editId="34EC0B6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2540</wp:posOffset>
                  </wp:positionV>
                  <wp:extent cx="2338705" cy="3016885"/>
                  <wp:effectExtent l="0" t="0" r="4445" b="0"/>
                  <wp:wrapTopAndBottom/>
                  <wp:docPr id="340502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02542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05" cy="301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14:paraId="4F7394E4" w14:textId="376DA9BF" w:rsidR="005971FF" w:rsidRDefault="00BE6634" w:rsidP="003A27D3">
            <w:pPr>
              <w:rPr>
                <w:b/>
                <w:bCs/>
                <w:color w:val="003E52"/>
              </w:rPr>
            </w:pPr>
            <w:r w:rsidRPr="00BE6634">
              <w:rPr>
                <w:b/>
                <w:bCs/>
                <w:noProof/>
                <w:color w:val="003E52"/>
              </w:rPr>
              <w:drawing>
                <wp:inline distT="0" distB="0" distL="0" distR="0" wp14:anchorId="0515E593" wp14:editId="4CA1CC0E">
                  <wp:extent cx="3176262" cy="2286319"/>
                  <wp:effectExtent l="0" t="0" r="5715" b="0"/>
                  <wp:docPr id="830152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52307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262" cy="228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BF9A56" w14:textId="77777777" w:rsidR="00760C12" w:rsidRDefault="00760C12" w:rsidP="003A27D3">
      <w:pPr>
        <w:rPr>
          <w:b/>
          <w:bCs/>
          <w:color w:val="003E52"/>
        </w:rPr>
      </w:pPr>
    </w:p>
    <w:p w14:paraId="1338FB78" w14:textId="1DECE0FB" w:rsidR="00760C12" w:rsidRDefault="00760C12" w:rsidP="00760C12">
      <w:pPr>
        <w:rPr>
          <w:b/>
          <w:bCs/>
          <w:color w:val="003E52"/>
        </w:rPr>
      </w:pPr>
      <w:r>
        <w:rPr>
          <w:b/>
          <w:bCs/>
          <w:color w:val="003E52"/>
        </w:rPr>
        <w:t xml:space="preserve">Example </w:t>
      </w:r>
      <w:r w:rsidR="00E506D3">
        <w:rPr>
          <w:b/>
          <w:bCs/>
          <w:color w:val="003E52"/>
        </w:rPr>
        <w:t>within</w:t>
      </w:r>
      <w:r>
        <w:rPr>
          <w:b/>
          <w:bCs/>
          <w:color w:val="003E52"/>
        </w:rPr>
        <w:t xml:space="preserve"> </w:t>
      </w:r>
      <w:r w:rsidR="004F4CCD">
        <w:rPr>
          <w:b/>
          <w:bCs/>
          <w:color w:val="003E52"/>
        </w:rPr>
        <w:t>O</w:t>
      </w:r>
      <w:r>
        <w:rPr>
          <w:b/>
          <w:bCs/>
          <w:color w:val="003E52"/>
        </w:rPr>
        <w:t xml:space="preserve">pen </w:t>
      </w:r>
      <w:r w:rsidR="004F4CCD">
        <w:rPr>
          <w:b/>
          <w:bCs/>
          <w:color w:val="003E52"/>
        </w:rPr>
        <w:t>D</w:t>
      </w:r>
      <w:r>
        <w:rPr>
          <w:b/>
          <w:bCs/>
          <w:color w:val="003E52"/>
        </w:rPr>
        <w:t>ata</w:t>
      </w:r>
      <w:r w:rsidR="002C5C35">
        <w:rPr>
          <w:b/>
          <w:bCs/>
          <w:color w:val="003E5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060D" w14:paraId="506B16A8" w14:textId="77777777" w:rsidTr="005971FF">
        <w:tc>
          <w:tcPr>
            <w:tcW w:w="4508" w:type="dxa"/>
          </w:tcPr>
          <w:p w14:paraId="66507756" w14:textId="3CD912E5" w:rsidR="005971FF" w:rsidRDefault="005704F8" w:rsidP="00760C12">
            <w:pPr>
              <w:rPr>
                <w:b/>
                <w:bCs/>
                <w:color w:val="003E52"/>
              </w:rPr>
            </w:pPr>
            <w:r w:rsidRPr="005704F8">
              <w:rPr>
                <w:b/>
                <w:bCs/>
                <w:noProof/>
                <w:color w:val="003E52"/>
              </w:rPr>
              <w:drawing>
                <wp:inline distT="0" distB="0" distL="0" distR="0" wp14:anchorId="6EB69F86" wp14:editId="549D059F">
                  <wp:extent cx="2609850" cy="2274438"/>
                  <wp:effectExtent l="0" t="0" r="0" b="0"/>
                  <wp:docPr id="21124796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47960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373" cy="2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7FF18E7" w14:textId="629C479F" w:rsidR="005971FF" w:rsidRDefault="003E060D" w:rsidP="00760C12">
            <w:pPr>
              <w:rPr>
                <w:b/>
                <w:bCs/>
                <w:color w:val="003E52"/>
              </w:rPr>
            </w:pPr>
            <w:r w:rsidRPr="003E060D">
              <w:rPr>
                <w:b/>
                <w:bCs/>
                <w:noProof/>
                <w:color w:val="003E52"/>
              </w:rPr>
              <w:drawing>
                <wp:inline distT="0" distB="0" distL="0" distR="0" wp14:anchorId="20749A05" wp14:editId="44DAC577">
                  <wp:extent cx="2695957" cy="1809750"/>
                  <wp:effectExtent l="0" t="0" r="9525" b="0"/>
                  <wp:docPr id="5553762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7627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267" cy="1828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E8699" w14:textId="77777777" w:rsidR="003E060D" w:rsidRDefault="003E060D" w:rsidP="00760C12">
      <w:pPr>
        <w:rPr>
          <w:b/>
          <w:bCs/>
          <w:color w:val="003E52"/>
        </w:rPr>
      </w:pPr>
    </w:p>
    <w:p w14:paraId="10463A1C" w14:textId="3581E5F3" w:rsidR="00760C12" w:rsidRDefault="00760C12" w:rsidP="00760C12">
      <w:pPr>
        <w:rPr>
          <w:b/>
          <w:bCs/>
          <w:color w:val="003E52"/>
        </w:rPr>
      </w:pPr>
      <w:r>
        <w:rPr>
          <w:b/>
          <w:bCs/>
          <w:color w:val="003E52"/>
        </w:rPr>
        <w:t>Example</w:t>
      </w:r>
      <w:r w:rsidR="00F607B8">
        <w:rPr>
          <w:b/>
          <w:bCs/>
          <w:color w:val="003E52"/>
        </w:rPr>
        <w:t xml:space="preserve"> within </w:t>
      </w:r>
      <w:r w:rsidR="00D44B39">
        <w:rPr>
          <w:b/>
          <w:bCs/>
          <w:color w:val="003E52"/>
        </w:rPr>
        <w:t>REST services for</w:t>
      </w:r>
      <w:r>
        <w:rPr>
          <w:b/>
          <w:bCs/>
          <w:color w:val="003E52"/>
        </w:rPr>
        <w:t xml:space="preserve"> </w:t>
      </w:r>
      <w:r w:rsidR="000C7BBE">
        <w:rPr>
          <w:b/>
          <w:bCs/>
          <w:color w:val="003E52"/>
        </w:rPr>
        <w:t>scripts</w:t>
      </w:r>
      <w:r w:rsidR="002C5C35">
        <w:rPr>
          <w:b/>
          <w:bCs/>
          <w:color w:val="003E52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26"/>
        <w:gridCol w:w="4836"/>
      </w:tblGrid>
      <w:tr w:rsidR="00F36B80" w14:paraId="698847BC" w14:textId="77777777" w:rsidTr="007F27C3">
        <w:trPr>
          <w:trHeight w:val="3652"/>
        </w:trPr>
        <w:tc>
          <w:tcPr>
            <w:tcW w:w="4326" w:type="dxa"/>
          </w:tcPr>
          <w:p w14:paraId="1EFF2C87" w14:textId="6C8B37D7" w:rsidR="005971FF" w:rsidRDefault="00A92E7C" w:rsidP="003A27D3">
            <w:pPr>
              <w:rPr>
                <w:b/>
                <w:bCs/>
                <w:color w:val="003E52"/>
              </w:rPr>
            </w:pPr>
            <w:r w:rsidRPr="00A92E7C">
              <w:rPr>
                <w:b/>
                <w:bCs/>
                <w:noProof/>
                <w:color w:val="003E52"/>
              </w:rPr>
              <w:drawing>
                <wp:inline distT="0" distB="0" distL="0" distR="0" wp14:anchorId="33EA1723" wp14:editId="29516869">
                  <wp:extent cx="2609850" cy="1897678"/>
                  <wp:effectExtent l="0" t="0" r="0" b="7620"/>
                  <wp:docPr id="390631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3123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794" cy="19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1" w:type="dxa"/>
          </w:tcPr>
          <w:p w14:paraId="3E5BF9BB" w14:textId="21ECFAFC" w:rsidR="005971FF" w:rsidRDefault="69F47E1A" w:rsidP="003A27D3">
            <w:r>
              <w:rPr>
                <w:noProof/>
              </w:rPr>
              <w:drawing>
                <wp:inline distT="0" distB="0" distL="0" distR="0" wp14:anchorId="1983077E" wp14:editId="28B344BC">
                  <wp:extent cx="2933700" cy="2133600"/>
                  <wp:effectExtent l="0" t="0" r="0" b="0"/>
                  <wp:docPr id="162155363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3638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99B33" w14:textId="77777777" w:rsidR="0035722E" w:rsidRDefault="0035722E" w:rsidP="0035722E">
      <w:pPr>
        <w:pStyle w:val="Heading1"/>
      </w:pPr>
    </w:p>
    <w:p w14:paraId="5D1B3704" w14:textId="4CD92C69" w:rsidR="00A32E7B" w:rsidRPr="008037CF" w:rsidRDefault="00A32E7B" w:rsidP="0035722E">
      <w:pPr>
        <w:pStyle w:val="Heading1"/>
        <w:rPr>
          <w:color w:val="003E52"/>
        </w:rPr>
      </w:pPr>
      <w:r w:rsidRPr="00A32E7B">
        <w:t xml:space="preserve">Improved </w:t>
      </w:r>
      <w:r w:rsidR="00CD5E37" w:rsidRPr="005B7823">
        <w:t>d</w:t>
      </w:r>
      <w:r w:rsidRPr="00A32E7B">
        <w:t xml:space="preserve">ataset </w:t>
      </w:r>
      <w:r w:rsidR="00CD5E37" w:rsidRPr="005B7823">
        <w:t>n</w:t>
      </w:r>
      <w:r w:rsidRPr="00A32E7B">
        <w:t>aming</w:t>
      </w:r>
    </w:p>
    <w:p w14:paraId="7EA18AE7" w14:textId="2360F653" w:rsidR="00A90230" w:rsidRDefault="00A90230" w:rsidP="00A90230">
      <w:r w:rsidRPr="1A07A1A3">
        <w:rPr>
          <w:b/>
          <w:bCs/>
          <w:color w:val="003E52"/>
        </w:rPr>
        <w:t>Action Required:</w:t>
      </w:r>
      <w:r w:rsidRPr="1A07A1A3">
        <w:rPr>
          <w:color w:val="003E52"/>
        </w:rPr>
        <w:t xml:space="preserve"> </w:t>
      </w:r>
      <w:r w:rsidR="003F152C" w:rsidRPr="1A07A1A3">
        <w:rPr>
          <w:color w:val="003E52"/>
        </w:rPr>
        <w:t>i</w:t>
      </w:r>
      <w:r>
        <w:t xml:space="preserve">f your scripts or processes depend on </w:t>
      </w:r>
      <w:r w:rsidR="000E2D96">
        <w:t>layer</w:t>
      </w:r>
      <w:r>
        <w:t xml:space="preserve"> names</w:t>
      </w:r>
      <w:r w:rsidR="0077252D">
        <w:t>,</w:t>
      </w:r>
      <w:r w:rsidR="000E2D96">
        <w:t xml:space="preserve"> these may</w:t>
      </w:r>
      <w:r>
        <w:t xml:space="preserve"> </w:t>
      </w:r>
      <w:r w:rsidR="00623BDB">
        <w:t xml:space="preserve">now </w:t>
      </w:r>
      <w:r>
        <w:t xml:space="preserve">be </w:t>
      </w:r>
      <w:r w:rsidR="000E2D96">
        <w:t>different</w:t>
      </w:r>
      <w:r w:rsidR="00927148">
        <w:t>.</w:t>
      </w:r>
      <w:r w:rsidR="009F1783">
        <w:t xml:space="preserve"> </w:t>
      </w:r>
      <w:r w:rsidR="0077252D">
        <w:t>The l</w:t>
      </w:r>
      <w:r w:rsidR="00927148">
        <w:t>ook</w:t>
      </w:r>
      <w:r w:rsidR="7327C91B">
        <w:t xml:space="preserve"> up table for the</w:t>
      </w:r>
      <w:r w:rsidR="0077252D">
        <w:t xml:space="preserve"> new</w:t>
      </w:r>
      <w:r w:rsidR="7327C91B">
        <w:t xml:space="preserve"> layer names can be found </w:t>
      </w:r>
      <w:hyperlink r:id="rId19" w:history="1">
        <w:r w:rsidR="7327C91B" w:rsidRPr="007F27C3">
          <w:rPr>
            <w:rStyle w:val="Hyperlink"/>
            <w:b/>
            <w:bCs/>
          </w:rPr>
          <w:t>HERE</w:t>
        </w:r>
      </w:hyperlink>
      <w:r w:rsidR="00927148">
        <w:t>.</w:t>
      </w:r>
    </w:p>
    <w:p w14:paraId="694E5F0E" w14:textId="1C52CEEE" w:rsidR="00A90230" w:rsidRPr="00A90230" w:rsidRDefault="00A90230" w:rsidP="00A32E7B">
      <w:pPr>
        <w:rPr>
          <w:b/>
          <w:bCs/>
          <w:color w:val="003E52"/>
        </w:rPr>
      </w:pPr>
      <w:r w:rsidRPr="00A90230">
        <w:rPr>
          <w:b/>
          <w:bCs/>
          <w:color w:val="003E52"/>
        </w:rPr>
        <w:t>Details:</w:t>
      </w:r>
    </w:p>
    <w:p w14:paraId="421F9EA9" w14:textId="1DCE219C" w:rsidR="00A90230" w:rsidRDefault="00A32E7B" w:rsidP="00A90230">
      <w:r w:rsidRPr="00A32E7B">
        <w:t xml:space="preserve">To enhance clarity, </w:t>
      </w:r>
      <w:r w:rsidR="005534B6">
        <w:t>we have standardised layer naming</w:t>
      </w:r>
      <w:r w:rsidR="008417E8">
        <w:t>:</w:t>
      </w:r>
    </w:p>
    <w:p w14:paraId="0D60B4ED" w14:textId="6974D516" w:rsidR="00A32E7B" w:rsidRPr="00A32E7B" w:rsidRDefault="00A32E7B" w:rsidP="00A90230">
      <w:pPr>
        <w:pStyle w:val="ListParagraph"/>
        <w:numPr>
          <w:ilvl w:val="0"/>
          <w:numId w:val="11"/>
        </w:numPr>
      </w:pPr>
      <w:r w:rsidRPr="00A90230">
        <w:rPr>
          <w:i/>
          <w:iCs/>
        </w:rPr>
        <w:t>Old Name:</w:t>
      </w:r>
      <w:r w:rsidRPr="00A32E7B">
        <w:t xml:space="preserve"> UKCS_Offshore_FieldDets_ED50</w:t>
      </w:r>
    </w:p>
    <w:p w14:paraId="25D9EE3A" w14:textId="77777777" w:rsidR="00A90230" w:rsidRPr="00A90230" w:rsidRDefault="00A32E7B" w:rsidP="007E2B56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A90230">
        <w:rPr>
          <w:i/>
          <w:iCs/>
        </w:rPr>
        <w:t>New Name:</w:t>
      </w:r>
      <w:r w:rsidRPr="00A32E7B">
        <w:t xml:space="preserve"> UKCS </w:t>
      </w:r>
      <w:r w:rsidR="008C5820">
        <w:t>p</w:t>
      </w:r>
      <w:r w:rsidRPr="00A32E7B">
        <w:t xml:space="preserve">etroleum </w:t>
      </w:r>
      <w:r w:rsidR="008C5820">
        <w:t>f</w:t>
      </w:r>
      <w:r w:rsidRPr="00A32E7B">
        <w:t xml:space="preserve">ield </w:t>
      </w:r>
      <w:r w:rsidR="008C5820">
        <w:t>d</w:t>
      </w:r>
      <w:r w:rsidRPr="00A32E7B">
        <w:t>eterminations (ED50)</w:t>
      </w:r>
    </w:p>
    <w:p w14:paraId="660B28C8" w14:textId="2DB675A6" w:rsidR="00A32E7B" w:rsidRPr="00A90230" w:rsidRDefault="000A69D5" w:rsidP="00A90230">
      <w:pPr>
        <w:pStyle w:val="Heading1"/>
      </w:pPr>
      <w:r>
        <w:lastRenderedPageBreak/>
        <w:t>A</w:t>
      </w:r>
      <w:r w:rsidR="00B80E21">
        <w:t>t</w:t>
      </w:r>
      <w:r w:rsidR="00A32E7B" w:rsidRPr="00A90230">
        <w:t xml:space="preserve">tribute </w:t>
      </w:r>
      <w:r w:rsidR="00CD5E37" w:rsidRPr="00A90230">
        <w:t>f</w:t>
      </w:r>
      <w:r w:rsidR="00A32E7B" w:rsidRPr="00A90230">
        <w:t xml:space="preserve">ield </w:t>
      </w:r>
      <w:r w:rsidR="00CD5E37" w:rsidRPr="00A90230">
        <w:t>n</w:t>
      </w:r>
      <w:r w:rsidR="00A32E7B" w:rsidRPr="00A90230">
        <w:t xml:space="preserve">ame </w:t>
      </w:r>
      <w:r w:rsidR="00CD5E37" w:rsidRPr="00A90230">
        <w:t>u</w:t>
      </w:r>
      <w:r w:rsidR="00A32E7B" w:rsidRPr="00A90230">
        <w:t>pdates</w:t>
      </w:r>
    </w:p>
    <w:p w14:paraId="0274B8B0" w14:textId="6F92FFAA" w:rsidR="00A90230" w:rsidRPr="005C61E5" w:rsidRDefault="00A90230" w:rsidP="00A90230">
      <w:r w:rsidRPr="1A07A1A3">
        <w:rPr>
          <w:b/>
          <w:bCs/>
          <w:color w:val="003E52"/>
        </w:rPr>
        <w:t>Action Required:</w:t>
      </w:r>
      <w:r w:rsidRPr="1A07A1A3">
        <w:rPr>
          <w:color w:val="003E52"/>
        </w:rPr>
        <w:t xml:space="preserve"> </w:t>
      </w:r>
      <w:r>
        <w:t>If your scripts or processes rely on specific field names</w:t>
      </w:r>
      <w:r w:rsidRPr="1A07A1A3">
        <w:rPr>
          <w:b/>
          <w:bCs/>
        </w:rPr>
        <w:t xml:space="preserve">, </w:t>
      </w:r>
      <w:r w:rsidR="008417E8">
        <w:t xml:space="preserve">you will need to </w:t>
      </w:r>
      <w:r>
        <w:t>update them</w:t>
      </w:r>
      <w:r w:rsidR="00BC52D5">
        <w:t>.</w:t>
      </w:r>
      <w:r>
        <w:t xml:space="preserve"> </w:t>
      </w:r>
      <w:r w:rsidR="008417E8">
        <w:t>The l</w:t>
      </w:r>
      <w:r w:rsidR="42D322B2">
        <w:t xml:space="preserve">ook up table for the dataset schemas can be found </w:t>
      </w:r>
      <w:hyperlink r:id="rId20" w:history="1">
        <w:r w:rsidR="42D322B2" w:rsidRPr="007F27C3">
          <w:rPr>
            <w:rStyle w:val="Hyperlink"/>
            <w:b/>
            <w:bCs/>
          </w:rPr>
          <w:t>HERE</w:t>
        </w:r>
        <w:r w:rsidR="00BC52D5" w:rsidRPr="1A07A1A3">
          <w:rPr>
            <w:rStyle w:val="Hyperlink"/>
          </w:rPr>
          <w:t>.</w:t>
        </w:r>
      </w:hyperlink>
    </w:p>
    <w:p w14:paraId="7E365E11" w14:textId="58DAFC31" w:rsidR="005C61E5" w:rsidRPr="005C61E5" w:rsidRDefault="00A90230" w:rsidP="005C61E5">
      <w:r w:rsidRPr="00A90230">
        <w:rPr>
          <w:b/>
          <w:bCs/>
          <w:color w:val="003E52"/>
        </w:rPr>
        <w:t>Details:</w:t>
      </w:r>
      <w:r>
        <w:t xml:space="preserve"> </w:t>
      </w:r>
      <w:r w:rsidR="005C61E5" w:rsidRPr="005C61E5">
        <w:t xml:space="preserve">All externally available datasets </w:t>
      </w:r>
      <w:r w:rsidR="008417E8">
        <w:t>have been updated</w:t>
      </w:r>
      <w:r w:rsidR="005C61E5" w:rsidRPr="00FF2FE9">
        <w:t xml:space="preserve"> </w:t>
      </w:r>
      <w:r w:rsidR="008417E8">
        <w:t>as below:</w:t>
      </w:r>
    </w:p>
    <w:p w14:paraId="06C3A019" w14:textId="4C1177C9" w:rsidR="005C61E5" w:rsidRPr="00FF2FE9" w:rsidRDefault="005C61E5" w:rsidP="005C61E5">
      <w:pPr>
        <w:numPr>
          <w:ilvl w:val="0"/>
          <w:numId w:val="9"/>
        </w:numPr>
      </w:pPr>
      <w:r w:rsidRPr="0006093D">
        <w:t>10-character limit</w:t>
      </w:r>
      <w:r w:rsidRPr="00FF2FE9">
        <w:t xml:space="preserve"> for attribute field names</w:t>
      </w:r>
      <w:r w:rsidR="00E716AE">
        <w:t>.</w:t>
      </w:r>
    </w:p>
    <w:p w14:paraId="19E1A48B" w14:textId="717A3070" w:rsidR="005C61E5" w:rsidRPr="00FF2FE9" w:rsidRDefault="005C61E5" w:rsidP="005C61E5">
      <w:pPr>
        <w:numPr>
          <w:ilvl w:val="0"/>
          <w:numId w:val="9"/>
        </w:numPr>
      </w:pPr>
      <w:r w:rsidRPr="00FF2FE9">
        <w:t xml:space="preserve">All attribute field names </w:t>
      </w:r>
      <w:r w:rsidR="00E716AE">
        <w:t xml:space="preserve">are now in </w:t>
      </w:r>
      <w:r w:rsidRPr="0006093D">
        <w:t>capital letters</w:t>
      </w:r>
      <w:r w:rsidRPr="00FF2FE9">
        <w:t>.</w:t>
      </w:r>
    </w:p>
    <w:p w14:paraId="2B950DEA" w14:textId="2E671BFE" w:rsidR="00225CA0" w:rsidRDefault="005C61E5" w:rsidP="00751315">
      <w:pPr>
        <w:numPr>
          <w:ilvl w:val="0"/>
          <w:numId w:val="9"/>
        </w:numPr>
      </w:pPr>
      <w:r w:rsidRPr="00FF2FE9">
        <w:t xml:space="preserve">Fully qualified </w:t>
      </w:r>
      <w:r w:rsidRPr="0006093D">
        <w:t xml:space="preserve">alias names </w:t>
      </w:r>
      <w:r w:rsidR="00E716AE">
        <w:t>are present</w:t>
      </w:r>
      <w:r w:rsidRPr="00FF2FE9">
        <w:t xml:space="preserve"> for all datasets</w:t>
      </w:r>
      <w:r w:rsidRPr="005C61E5">
        <w:t>.</w:t>
      </w:r>
    </w:p>
    <w:p w14:paraId="7E408EE1" w14:textId="77777777" w:rsidR="0035722E" w:rsidRDefault="0035722E" w:rsidP="00751315">
      <w:pPr>
        <w:pStyle w:val="Heading1"/>
      </w:pPr>
    </w:p>
    <w:p w14:paraId="6BFF5DD5" w14:textId="52FE3B94" w:rsidR="005C61E5" w:rsidRPr="005B7823" w:rsidRDefault="00AA32D4" w:rsidP="00751315">
      <w:pPr>
        <w:pStyle w:val="Heading1"/>
      </w:pPr>
      <w:r>
        <w:t>C</w:t>
      </w:r>
      <w:r w:rsidR="005C61E5" w:rsidRPr="005B7823">
        <w:t xml:space="preserve">hanges to </w:t>
      </w:r>
      <w:r>
        <w:t>interactive maps</w:t>
      </w:r>
      <w:r w:rsidR="006F4814">
        <w:t xml:space="preserve"> and dashboards</w:t>
      </w:r>
      <w:r w:rsidR="005C61E5" w:rsidRPr="005B7823">
        <w:t xml:space="preserve"> – </w:t>
      </w:r>
      <w:r w:rsidR="00DC1024" w:rsidRPr="005B7823">
        <w:t>r</w:t>
      </w:r>
      <w:r w:rsidR="005C61E5" w:rsidRPr="005B7823">
        <w:t xml:space="preserve">enamed &amp; </w:t>
      </w:r>
      <w:r w:rsidR="00DC1024" w:rsidRPr="005B7823">
        <w:t>u</w:t>
      </w:r>
      <w:r w:rsidR="005C61E5" w:rsidRPr="005B7823">
        <w:t>pdated</w:t>
      </w:r>
    </w:p>
    <w:p w14:paraId="77CCACD3" w14:textId="77777777" w:rsidR="001F1CF6" w:rsidRDefault="00427E38" w:rsidP="00427E38">
      <w:r w:rsidRPr="1A07A1A3">
        <w:rPr>
          <w:b/>
          <w:bCs/>
          <w:color w:val="003E52"/>
        </w:rPr>
        <w:t>Action Required:</w:t>
      </w:r>
      <w:r w:rsidRPr="1A07A1A3">
        <w:rPr>
          <w:color w:val="003479"/>
        </w:rPr>
        <w:t xml:space="preserve"> </w:t>
      </w:r>
      <w:r w:rsidR="00E716AE">
        <w:t>You will need to u</w:t>
      </w:r>
      <w:r>
        <w:t>pdate</w:t>
      </w:r>
      <w:r w:rsidR="00E716AE">
        <w:t xml:space="preserve"> any</w:t>
      </w:r>
      <w:r>
        <w:t xml:space="preserve"> bookmarks </w:t>
      </w:r>
      <w:r w:rsidR="00106378">
        <w:t>and references</w:t>
      </w:r>
      <w:r>
        <w:t xml:space="preserve"> to the new </w:t>
      </w:r>
      <w:r w:rsidR="00106378">
        <w:t xml:space="preserve">URLs and </w:t>
      </w:r>
      <w:r>
        <w:t>application names</w:t>
      </w:r>
      <w:r w:rsidR="00106378">
        <w:t>.</w:t>
      </w:r>
      <w:r>
        <w:t xml:space="preserve"> </w:t>
      </w:r>
    </w:p>
    <w:p w14:paraId="31F132C6" w14:textId="2E4DC008" w:rsidR="00427E38" w:rsidRDefault="00E716AE" w:rsidP="00427E38">
      <w:r>
        <w:t>The l</w:t>
      </w:r>
      <w:r w:rsidR="2FEBB065">
        <w:t xml:space="preserve">ook up table for the new URLs and application names can be found </w:t>
      </w:r>
      <w:hyperlink r:id="rId21" w:history="1">
        <w:r w:rsidR="2FEBB065" w:rsidRPr="007F27C3">
          <w:rPr>
            <w:rStyle w:val="Hyperlink"/>
            <w:b/>
            <w:bCs/>
          </w:rPr>
          <w:t>HERE</w:t>
        </w:r>
      </w:hyperlink>
      <w:r w:rsidR="003034BE">
        <w:t>.</w:t>
      </w:r>
    </w:p>
    <w:p w14:paraId="4D39973D" w14:textId="0F31554F" w:rsidR="00F03A75" w:rsidRDefault="005C61E5" w:rsidP="006602D9">
      <w:r>
        <w:t xml:space="preserve">All </w:t>
      </w:r>
      <w:r w:rsidR="00390B06">
        <w:t xml:space="preserve">interactive maps and </w:t>
      </w:r>
      <w:r w:rsidR="002F033E">
        <w:t xml:space="preserve">spatial </w:t>
      </w:r>
      <w:r w:rsidR="00390B06">
        <w:t>dashboards</w:t>
      </w:r>
      <w:r w:rsidR="00FE1F8E">
        <w:t xml:space="preserve"> </w:t>
      </w:r>
      <w:r w:rsidR="003503EA">
        <w:t>(</w:t>
      </w:r>
      <w:hyperlink r:id="rId22">
        <w:r w:rsidR="00196AA0" w:rsidRPr="59145FA0">
          <w:rPr>
            <w:rStyle w:val="Hyperlink"/>
          </w:rPr>
          <w:t>Interactive maps and dashboards</w:t>
        </w:r>
      </w:hyperlink>
      <w:r w:rsidR="008B7C41">
        <w:t>)</w:t>
      </w:r>
      <w:r w:rsidR="00196AA0">
        <w:t xml:space="preserve"> </w:t>
      </w:r>
      <w:r w:rsidR="00183D42">
        <w:t xml:space="preserve"> </w:t>
      </w:r>
      <w:r w:rsidR="009608D8">
        <w:t>have been</w:t>
      </w:r>
      <w:r w:rsidR="002A4EC8">
        <w:t xml:space="preserve"> updated </w:t>
      </w:r>
      <w:r w:rsidR="009608D8">
        <w:t xml:space="preserve">with a new </w:t>
      </w:r>
      <w:r w:rsidR="002A4EC8">
        <w:t>name and new URL.</w:t>
      </w:r>
      <w:r w:rsidR="00106378">
        <w:t xml:space="preserve"> </w:t>
      </w:r>
      <w:r w:rsidR="005B7875">
        <w:t xml:space="preserve">Other types of applications, such as </w:t>
      </w:r>
      <w:r w:rsidR="02ED7EAF">
        <w:t>P</w:t>
      </w:r>
      <w:r w:rsidR="005B7875">
        <w:t xml:space="preserve">ower </w:t>
      </w:r>
      <w:r w:rsidR="70F41839">
        <w:t>BI</w:t>
      </w:r>
      <w:r w:rsidR="005B7875">
        <w:t xml:space="preserve"> reports</w:t>
      </w:r>
      <w:r w:rsidR="00C033ED">
        <w:t xml:space="preserve">, </w:t>
      </w:r>
      <w:r w:rsidR="00182666">
        <w:t xml:space="preserve">the </w:t>
      </w:r>
      <w:hyperlink r:id="rId23" w:history="1">
        <w:r w:rsidR="003034BE" w:rsidRPr="004F7AF8">
          <w:rPr>
            <w:rStyle w:val="Hyperlink"/>
          </w:rPr>
          <w:t>wellbore search</w:t>
        </w:r>
      </w:hyperlink>
      <w:r w:rsidR="003034BE">
        <w:t xml:space="preserve"> and </w:t>
      </w:r>
      <w:r w:rsidR="00182666">
        <w:t xml:space="preserve">the </w:t>
      </w:r>
      <w:hyperlink r:id="rId24" w:history="1">
        <w:r w:rsidR="003034BE" w:rsidRPr="00D8174C">
          <w:rPr>
            <w:rStyle w:val="Hyperlink"/>
          </w:rPr>
          <w:t xml:space="preserve">licence </w:t>
        </w:r>
        <w:r w:rsidR="00D8174C" w:rsidRPr="00D8174C">
          <w:rPr>
            <w:rStyle w:val="Hyperlink"/>
          </w:rPr>
          <w:t>list page</w:t>
        </w:r>
      </w:hyperlink>
      <w:r w:rsidR="003034BE">
        <w:t xml:space="preserve"> </w:t>
      </w:r>
      <w:r w:rsidR="009608D8">
        <w:t xml:space="preserve">have not </w:t>
      </w:r>
      <w:r w:rsidR="00C033ED">
        <w:t>change</w:t>
      </w:r>
      <w:r w:rsidR="009608D8">
        <w:t>d</w:t>
      </w:r>
      <w:r w:rsidR="00C033ED">
        <w:t>.</w:t>
      </w:r>
      <w:r w:rsidR="002B6F7B">
        <w:t xml:space="preserve"> </w:t>
      </w:r>
    </w:p>
    <w:sectPr w:rsidR="00F03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899"/>
    <w:multiLevelType w:val="multilevel"/>
    <w:tmpl w:val="50DC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5FD3"/>
    <w:multiLevelType w:val="multilevel"/>
    <w:tmpl w:val="C034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33D2D"/>
    <w:multiLevelType w:val="multilevel"/>
    <w:tmpl w:val="61FE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53D83"/>
    <w:multiLevelType w:val="hybridMultilevel"/>
    <w:tmpl w:val="0004D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18A6"/>
    <w:multiLevelType w:val="multilevel"/>
    <w:tmpl w:val="AF3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B660F"/>
    <w:multiLevelType w:val="hybridMultilevel"/>
    <w:tmpl w:val="1918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43FC7"/>
    <w:multiLevelType w:val="multilevel"/>
    <w:tmpl w:val="D41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C59CC"/>
    <w:multiLevelType w:val="hybridMultilevel"/>
    <w:tmpl w:val="69C4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73CFD"/>
    <w:multiLevelType w:val="multilevel"/>
    <w:tmpl w:val="E952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14012"/>
    <w:multiLevelType w:val="multilevel"/>
    <w:tmpl w:val="7F54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26A9F"/>
    <w:multiLevelType w:val="multilevel"/>
    <w:tmpl w:val="2EB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C0778"/>
    <w:multiLevelType w:val="multilevel"/>
    <w:tmpl w:val="7CC4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737544">
    <w:abstractNumId w:val="10"/>
  </w:num>
  <w:num w:numId="2" w16cid:durableId="1798571255">
    <w:abstractNumId w:val="1"/>
  </w:num>
  <w:num w:numId="3" w16cid:durableId="594871753">
    <w:abstractNumId w:val="4"/>
  </w:num>
  <w:num w:numId="4" w16cid:durableId="513694635">
    <w:abstractNumId w:val="2"/>
  </w:num>
  <w:num w:numId="5" w16cid:durableId="1418669001">
    <w:abstractNumId w:val="11"/>
  </w:num>
  <w:num w:numId="6" w16cid:durableId="1737774274">
    <w:abstractNumId w:val="0"/>
  </w:num>
  <w:num w:numId="7" w16cid:durableId="613369088">
    <w:abstractNumId w:val="8"/>
  </w:num>
  <w:num w:numId="8" w16cid:durableId="333531932">
    <w:abstractNumId w:val="5"/>
  </w:num>
  <w:num w:numId="9" w16cid:durableId="19748272">
    <w:abstractNumId w:val="9"/>
  </w:num>
  <w:num w:numId="10" w16cid:durableId="192691510">
    <w:abstractNumId w:val="6"/>
  </w:num>
  <w:num w:numId="11" w16cid:durableId="203100245">
    <w:abstractNumId w:val="7"/>
  </w:num>
  <w:num w:numId="12" w16cid:durableId="212291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7B"/>
    <w:rsid w:val="000012FE"/>
    <w:rsid w:val="0002092B"/>
    <w:rsid w:val="00021CA5"/>
    <w:rsid w:val="00024E57"/>
    <w:rsid w:val="00033155"/>
    <w:rsid w:val="00042456"/>
    <w:rsid w:val="00047DD7"/>
    <w:rsid w:val="00050E4D"/>
    <w:rsid w:val="0006093D"/>
    <w:rsid w:val="00060F20"/>
    <w:rsid w:val="000701EA"/>
    <w:rsid w:val="0007567D"/>
    <w:rsid w:val="000A3603"/>
    <w:rsid w:val="000A3CBE"/>
    <w:rsid w:val="000A47FC"/>
    <w:rsid w:val="000A69D5"/>
    <w:rsid w:val="000A7315"/>
    <w:rsid w:val="000C67FD"/>
    <w:rsid w:val="000C7BBE"/>
    <w:rsid w:val="000D441E"/>
    <w:rsid w:val="000E17AD"/>
    <w:rsid w:val="000E2D96"/>
    <w:rsid w:val="000E382A"/>
    <w:rsid w:val="000E63D6"/>
    <w:rsid w:val="000E7171"/>
    <w:rsid w:val="00105BB9"/>
    <w:rsid w:val="00106378"/>
    <w:rsid w:val="001067A4"/>
    <w:rsid w:val="00107732"/>
    <w:rsid w:val="001251DB"/>
    <w:rsid w:val="00125AA4"/>
    <w:rsid w:val="00127B99"/>
    <w:rsid w:val="00135674"/>
    <w:rsid w:val="001403D2"/>
    <w:rsid w:val="0014359B"/>
    <w:rsid w:val="00143C89"/>
    <w:rsid w:val="00151D6E"/>
    <w:rsid w:val="00155853"/>
    <w:rsid w:val="001614FA"/>
    <w:rsid w:val="001644D8"/>
    <w:rsid w:val="00164AF3"/>
    <w:rsid w:val="0017064C"/>
    <w:rsid w:val="001728E0"/>
    <w:rsid w:val="0017562A"/>
    <w:rsid w:val="00182666"/>
    <w:rsid w:val="00182DA6"/>
    <w:rsid w:val="0018334E"/>
    <w:rsid w:val="00183D42"/>
    <w:rsid w:val="001904DB"/>
    <w:rsid w:val="00190971"/>
    <w:rsid w:val="001932B0"/>
    <w:rsid w:val="00195D16"/>
    <w:rsid w:val="00196AA0"/>
    <w:rsid w:val="00197E66"/>
    <w:rsid w:val="001A558D"/>
    <w:rsid w:val="001B0FF1"/>
    <w:rsid w:val="001B529B"/>
    <w:rsid w:val="001B686A"/>
    <w:rsid w:val="001C11EB"/>
    <w:rsid w:val="001E4F8D"/>
    <w:rsid w:val="001E6260"/>
    <w:rsid w:val="001E76D6"/>
    <w:rsid w:val="001F00CB"/>
    <w:rsid w:val="001F1CF6"/>
    <w:rsid w:val="00200E34"/>
    <w:rsid w:val="00205DAA"/>
    <w:rsid w:val="00212D9E"/>
    <w:rsid w:val="00225CA0"/>
    <w:rsid w:val="0024606B"/>
    <w:rsid w:val="0025702A"/>
    <w:rsid w:val="0026741C"/>
    <w:rsid w:val="00271560"/>
    <w:rsid w:val="00273BB2"/>
    <w:rsid w:val="00280395"/>
    <w:rsid w:val="002A1C32"/>
    <w:rsid w:val="002A4EC8"/>
    <w:rsid w:val="002A754E"/>
    <w:rsid w:val="002B6F7B"/>
    <w:rsid w:val="002C0919"/>
    <w:rsid w:val="002C1DAE"/>
    <w:rsid w:val="002C5C35"/>
    <w:rsid w:val="002D74E9"/>
    <w:rsid w:val="002E65F3"/>
    <w:rsid w:val="002F033E"/>
    <w:rsid w:val="002F38D6"/>
    <w:rsid w:val="003015E5"/>
    <w:rsid w:val="00302822"/>
    <w:rsid w:val="003034BE"/>
    <w:rsid w:val="00310350"/>
    <w:rsid w:val="00314735"/>
    <w:rsid w:val="00315456"/>
    <w:rsid w:val="0031612B"/>
    <w:rsid w:val="0032030A"/>
    <w:rsid w:val="0032070F"/>
    <w:rsid w:val="0032465B"/>
    <w:rsid w:val="00324D85"/>
    <w:rsid w:val="0033559A"/>
    <w:rsid w:val="00337D67"/>
    <w:rsid w:val="00343722"/>
    <w:rsid w:val="00346122"/>
    <w:rsid w:val="003503EA"/>
    <w:rsid w:val="003516A8"/>
    <w:rsid w:val="0035722E"/>
    <w:rsid w:val="00362C2A"/>
    <w:rsid w:val="003744D4"/>
    <w:rsid w:val="0037684B"/>
    <w:rsid w:val="00382750"/>
    <w:rsid w:val="00387F13"/>
    <w:rsid w:val="003902A4"/>
    <w:rsid w:val="00390B06"/>
    <w:rsid w:val="00392F3B"/>
    <w:rsid w:val="003A27D3"/>
    <w:rsid w:val="003A5BE4"/>
    <w:rsid w:val="003A6217"/>
    <w:rsid w:val="003B1DFF"/>
    <w:rsid w:val="003B6D15"/>
    <w:rsid w:val="003C08AA"/>
    <w:rsid w:val="003C4EA0"/>
    <w:rsid w:val="003D0398"/>
    <w:rsid w:val="003D1751"/>
    <w:rsid w:val="003D21D3"/>
    <w:rsid w:val="003D5C3C"/>
    <w:rsid w:val="003D6D0F"/>
    <w:rsid w:val="003E060D"/>
    <w:rsid w:val="003E253C"/>
    <w:rsid w:val="003E3395"/>
    <w:rsid w:val="003F152C"/>
    <w:rsid w:val="004011CC"/>
    <w:rsid w:val="004063D3"/>
    <w:rsid w:val="004147C3"/>
    <w:rsid w:val="0042402A"/>
    <w:rsid w:val="00427E38"/>
    <w:rsid w:val="004400C1"/>
    <w:rsid w:val="0044793C"/>
    <w:rsid w:val="00452EBE"/>
    <w:rsid w:val="004620B0"/>
    <w:rsid w:val="00465461"/>
    <w:rsid w:val="00465BFD"/>
    <w:rsid w:val="0047163F"/>
    <w:rsid w:val="00481F4A"/>
    <w:rsid w:val="00484E73"/>
    <w:rsid w:val="004921D1"/>
    <w:rsid w:val="004948C1"/>
    <w:rsid w:val="004A27FA"/>
    <w:rsid w:val="004A301D"/>
    <w:rsid w:val="004A436E"/>
    <w:rsid w:val="004A4435"/>
    <w:rsid w:val="004B3FC1"/>
    <w:rsid w:val="004B49AD"/>
    <w:rsid w:val="004C72E1"/>
    <w:rsid w:val="004C7A92"/>
    <w:rsid w:val="004D2298"/>
    <w:rsid w:val="004D291E"/>
    <w:rsid w:val="004E074A"/>
    <w:rsid w:val="004E0EC6"/>
    <w:rsid w:val="004E4967"/>
    <w:rsid w:val="004F1AD1"/>
    <w:rsid w:val="004F1F3D"/>
    <w:rsid w:val="004F4CCD"/>
    <w:rsid w:val="004F7AF8"/>
    <w:rsid w:val="00501F99"/>
    <w:rsid w:val="0050507B"/>
    <w:rsid w:val="00506004"/>
    <w:rsid w:val="00506D78"/>
    <w:rsid w:val="0051076E"/>
    <w:rsid w:val="0051185D"/>
    <w:rsid w:val="0051617E"/>
    <w:rsid w:val="0052352D"/>
    <w:rsid w:val="00525F1E"/>
    <w:rsid w:val="00530281"/>
    <w:rsid w:val="00533710"/>
    <w:rsid w:val="00536C46"/>
    <w:rsid w:val="00537047"/>
    <w:rsid w:val="00544D13"/>
    <w:rsid w:val="00547B58"/>
    <w:rsid w:val="005534B6"/>
    <w:rsid w:val="00553DBB"/>
    <w:rsid w:val="005656FF"/>
    <w:rsid w:val="00565E64"/>
    <w:rsid w:val="005704F8"/>
    <w:rsid w:val="00572877"/>
    <w:rsid w:val="0057680B"/>
    <w:rsid w:val="0057729E"/>
    <w:rsid w:val="00592311"/>
    <w:rsid w:val="005971FF"/>
    <w:rsid w:val="005A0411"/>
    <w:rsid w:val="005B7823"/>
    <w:rsid w:val="005B7875"/>
    <w:rsid w:val="005C0012"/>
    <w:rsid w:val="005C2D58"/>
    <w:rsid w:val="005C332B"/>
    <w:rsid w:val="005C61E5"/>
    <w:rsid w:val="005D331C"/>
    <w:rsid w:val="00603CC4"/>
    <w:rsid w:val="00614B40"/>
    <w:rsid w:val="00615344"/>
    <w:rsid w:val="0062186E"/>
    <w:rsid w:val="00623BDB"/>
    <w:rsid w:val="006241C5"/>
    <w:rsid w:val="00630DB1"/>
    <w:rsid w:val="006325F8"/>
    <w:rsid w:val="006422CE"/>
    <w:rsid w:val="00643F52"/>
    <w:rsid w:val="00651438"/>
    <w:rsid w:val="00652491"/>
    <w:rsid w:val="006602D9"/>
    <w:rsid w:val="00661EB1"/>
    <w:rsid w:val="00666312"/>
    <w:rsid w:val="00667143"/>
    <w:rsid w:val="00673F8F"/>
    <w:rsid w:val="00683A3C"/>
    <w:rsid w:val="006A0906"/>
    <w:rsid w:val="006A0985"/>
    <w:rsid w:val="006B4B9B"/>
    <w:rsid w:val="006B53AC"/>
    <w:rsid w:val="006B7019"/>
    <w:rsid w:val="006B7FBD"/>
    <w:rsid w:val="006E0AE5"/>
    <w:rsid w:val="006E6019"/>
    <w:rsid w:val="006F2FA6"/>
    <w:rsid w:val="006F4814"/>
    <w:rsid w:val="006F54DA"/>
    <w:rsid w:val="00705466"/>
    <w:rsid w:val="00712AAE"/>
    <w:rsid w:val="00714AEA"/>
    <w:rsid w:val="00732DF7"/>
    <w:rsid w:val="0073379F"/>
    <w:rsid w:val="00734798"/>
    <w:rsid w:val="00751315"/>
    <w:rsid w:val="00760C12"/>
    <w:rsid w:val="00761888"/>
    <w:rsid w:val="00763BEE"/>
    <w:rsid w:val="00770DA9"/>
    <w:rsid w:val="0077252D"/>
    <w:rsid w:val="0077426E"/>
    <w:rsid w:val="00774DE5"/>
    <w:rsid w:val="007767A2"/>
    <w:rsid w:val="00776D41"/>
    <w:rsid w:val="00782AAA"/>
    <w:rsid w:val="00793C5B"/>
    <w:rsid w:val="007B294D"/>
    <w:rsid w:val="007B57F5"/>
    <w:rsid w:val="007E112E"/>
    <w:rsid w:val="007E2B56"/>
    <w:rsid w:val="007F27C3"/>
    <w:rsid w:val="007F7507"/>
    <w:rsid w:val="00801599"/>
    <w:rsid w:val="008037CF"/>
    <w:rsid w:val="00817BDA"/>
    <w:rsid w:val="00827506"/>
    <w:rsid w:val="00831510"/>
    <w:rsid w:val="00831B3D"/>
    <w:rsid w:val="008417E8"/>
    <w:rsid w:val="008461E6"/>
    <w:rsid w:val="00853D23"/>
    <w:rsid w:val="0085640E"/>
    <w:rsid w:val="00856E46"/>
    <w:rsid w:val="00864989"/>
    <w:rsid w:val="00864FC7"/>
    <w:rsid w:val="00875B60"/>
    <w:rsid w:val="008841DD"/>
    <w:rsid w:val="0088474A"/>
    <w:rsid w:val="00890749"/>
    <w:rsid w:val="0089377D"/>
    <w:rsid w:val="008A6903"/>
    <w:rsid w:val="008B1158"/>
    <w:rsid w:val="008B472E"/>
    <w:rsid w:val="008B7C41"/>
    <w:rsid w:val="008C1E5A"/>
    <w:rsid w:val="008C5820"/>
    <w:rsid w:val="008C7A93"/>
    <w:rsid w:val="008D1E68"/>
    <w:rsid w:val="008D3E0A"/>
    <w:rsid w:val="008F5F9E"/>
    <w:rsid w:val="00912B7F"/>
    <w:rsid w:val="00913C2B"/>
    <w:rsid w:val="0091469D"/>
    <w:rsid w:val="00920F4F"/>
    <w:rsid w:val="00927148"/>
    <w:rsid w:val="00927E26"/>
    <w:rsid w:val="00934025"/>
    <w:rsid w:val="00941003"/>
    <w:rsid w:val="009464AC"/>
    <w:rsid w:val="00946D59"/>
    <w:rsid w:val="0095301B"/>
    <w:rsid w:val="009564D6"/>
    <w:rsid w:val="009608D8"/>
    <w:rsid w:val="009729C6"/>
    <w:rsid w:val="00981BAE"/>
    <w:rsid w:val="00984D02"/>
    <w:rsid w:val="009917E7"/>
    <w:rsid w:val="00995EB8"/>
    <w:rsid w:val="009A2FD3"/>
    <w:rsid w:val="009A616C"/>
    <w:rsid w:val="009B5491"/>
    <w:rsid w:val="009C7A22"/>
    <w:rsid w:val="009D623A"/>
    <w:rsid w:val="009D7F12"/>
    <w:rsid w:val="009E11CF"/>
    <w:rsid w:val="009E1F08"/>
    <w:rsid w:val="009E21E9"/>
    <w:rsid w:val="009F034A"/>
    <w:rsid w:val="009F1783"/>
    <w:rsid w:val="009F68BE"/>
    <w:rsid w:val="00A024EA"/>
    <w:rsid w:val="00A03E2F"/>
    <w:rsid w:val="00A047E0"/>
    <w:rsid w:val="00A11F47"/>
    <w:rsid w:val="00A1578E"/>
    <w:rsid w:val="00A20C1E"/>
    <w:rsid w:val="00A21697"/>
    <w:rsid w:val="00A22C65"/>
    <w:rsid w:val="00A26AA1"/>
    <w:rsid w:val="00A313D4"/>
    <w:rsid w:val="00A32118"/>
    <w:rsid w:val="00A32E7B"/>
    <w:rsid w:val="00A52776"/>
    <w:rsid w:val="00A60D1E"/>
    <w:rsid w:val="00A70221"/>
    <w:rsid w:val="00A70EEA"/>
    <w:rsid w:val="00A71105"/>
    <w:rsid w:val="00A72600"/>
    <w:rsid w:val="00A74D96"/>
    <w:rsid w:val="00A77220"/>
    <w:rsid w:val="00A8363A"/>
    <w:rsid w:val="00A855B2"/>
    <w:rsid w:val="00A864B0"/>
    <w:rsid w:val="00A8682B"/>
    <w:rsid w:val="00A90230"/>
    <w:rsid w:val="00A92E7C"/>
    <w:rsid w:val="00A93D21"/>
    <w:rsid w:val="00A966C4"/>
    <w:rsid w:val="00AA32D4"/>
    <w:rsid w:val="00AB331C"/>
    <w:rsid w:val="00AB3956"/>
    <w:rsid w:val="00AB6DC0"/>
    <w:rsid w:val="00AC3A42"/>
    <w:rsid w:val="00AC5CCE"/>
    <w:rsid w:val="00AC704B"/>
    <w:rsid w:val="00AD0698"/>
    <w:rsid w:val="00AD196A"/>
    <w:rsid w:val="00AD3BD9"/>
    <w:rsid w:val="00AE4229"/>
    <w:rsid w:val="00B0405E"/>
    <w:rsid w:val="00B14881"/>
    <w:rsid w:val="00B16F2A"/>
    <w:rsid w:val="00B2157A"/>
    <w:rsid w:val="00B22A31"/>
    <w:rsid w:val="00B240BE"/>
    <w:rsid w:val="00B318C4"/>
    <w:rsid w:val="00B441B3"/>
    <w:rsid w:val="00B50AB4"/>
    <w:rsid w:val="00B530E7"/>
    <w:rsid w:val="00B63E9B"/>
    <w:rsid w:val="00B647A7"/>
    <w:rsid w:val="00B6665A"/>
    <w:rsid w:val="00B70004"/>
    <w:rsid w:val="00B71597"/>
    <w:rsid w:val="00B77520"/>
    <w:rsid w:val="00B80E21"/>
    <w:rsid w:val="00B9087A"/>
    <w:rsid w:val="00B9395D"/>
    <w:rsid w:val="00B963A3"/>
    <w:rsid w:val="00B96A50"/>
    <w:rsid w:val="00BA0B25"/>
    <w:rsid w:val="00BA19BC"/>
    <w:rsid w:val="00BA5027"/>
    <w:rsid w:val="00BB753E"/>
    <w:rsid w:val="00BC06A1"/>
    <w:rsid w:val="00BC52D5"/>
    <w:rsid w:val="00BD3CB1"/>
    <w:rsid w:val="00BD41A2"/>
    <w:rsid w:val="00BD4FD1"/>
    <w:rsid w:val="00BD5155"/>
    <w:rsid w:val="00BE6171"/>
    <w:rsid w:val="00BE6634"/>
    <w:rsid w:val="00BF1EAE"/>
    <w:rsid w:val="00C00E78"/>
    <w:rsid w:val="00C033ED"/>
    <w:rsid w:val="00C04C57"/>
    <w:rsid w:val="00C1397E"/>
    <w:rsid w:val="00C21A36"/>
    <w:rsid w:val="00C24837"/>
    <w:rsid w:val="00C27088"/>
    <w:rsid w:val="00C278D3"/>
    <w:rsid w:val="00C31003"/>
    <w:rsid w:val="00C43F69"/>
    <w:rsid w:val="00C51F84"/>
    <w:rsid w:val="00C54F4F"/>
    <w:rsid w:val="00C57004"/>
    <w:rsid w:val="00C62132"/>
    <w:rsid w:val="00C63055"/>
    <w:rsid w:val="00C6676A"/>
    <w:rsid w:val="00C70AA9"/>
    <w:rsid w:val="00C734CE"/>
    <w:rsid w:val="00C74141"/>
    <w:rsid w:val="00C95C4D"/>
    <w:rsid w:val="00CA5DC8"/>
    <w:rsid w:val="00CC12BF"/>
    <w:rsid w:val="00CD0471"/>
    <w:rsid w:val="00CD2FAD"/>
    <w:rsid w:val="00CD5E37"/>
    <w:rsid w:val="00CE0574"/>
    <w:rsid w:val="00CE3CFD"/>
    <w:rsid w:val="00CE5F87"/>
    <w:rsid w:val="00CF6BED"/>
    <w:rsid w:val="00D0209A"/>
    <w:rsid w:val="00D05840"/>
    <w:rsid w:val="00D0692A"/>
    <w:rsid w:val="00D16274"/>
    <w:rsid w:val="00D23A73"/>
    <w:rsid w:val="00D35C7C"/>
    <w:rsid w:val="00D4281F"/>
    <w:rsid w:val="00D44B39"/>
    <w:rsid w:val="00D5188A"/>
    <w:rsid w:val="00D5234A"/>
    <w:rsid w:val="00D62E72"/>
    <w:rsid w:val="00D661EB"/>
    <w:rsid w:val="00D72A08"/>
    <w:rsid w:val="00D72D65"/>
    <w:rsid w:val="00D8174C"/>
    <w:rsid w:val="00D969C5"/>
    <w:rsid w:val="00D96E55"/>
    <w:rsid w:val="00D96EEF"/>
    <w:rsid w:val="00DA5C5C"/>
    <w:rsid w:val="00DA6F4B"/>
    <w:rsid w:val="00DC06C3"/>
    <w:rsid w:val="00DC1024"/>
    <w:rsid w:val="00DC2E8B"/>
    <w:rsid w:val="00DC529B"/>
    <w:rsid w:val="00DD2BBE"/>
    <w:rsid w:val="00DE3355"/>
    <w:rsid w:val="00DE7702"/>
    <w:rsid w:val="00DF508A"/>
    <w:rsid w:val="00DF69AC"/>
    <w:rsid w:val="00DF6BB9"/>
    <w:rsid w:val="00E06887"/>
    <w:rsid w:val="00E13C4C"/>
    <w:rsid w:val="00E22090"/>
    <w:rsid w:val="00E30A60"/>
    <w:rsid w:val="00E30FE5"/>
    <w:rsid w:val="00E34D5A"/>
    <w:rsid w:val="00E36460"/>
    <w:rsid w:val="00E42902"/>
    <w:rsid w:val="00E47982"/>
    <w:rsid w:val="00E506D3"/>
    <w:rsid w:val="00E53895"/>
    <w:rsid w:val="00E53FD9"/>
    <w:rsid w:val="00E55237"/>
    <w:rsid w:val="00E55560"/>
    <w:rsid w:val="00E57174"/>
    <w:rsid w:val="00E578D2"/>
    <w:rsid w:val="00E708DF"/>
    <w:rsid w:val="00E70BF8"/>
    <w:rsid w:val="00E716AE"/>
    <w:rsid w:val="00E737AE"/>
    <w:rsid w:val="00E77A81"/>
    <w:rsid w:val="00E917BD"/>
    <w:rsid w:val="00E952DC"/>
    <w:rsid w:val="00E95785"/>
    <w:rsid w:val="00EB4269"/>
    <w:rsid w:val="00EB56A9"/>
    <w:rsid w:val="00EB6BAD"/>
    <w:rsid w:val="00EC5B92"/>
    <w:rsid w:val="00ED1560"/>
    <w:rsid w:val="00ED1E46"/>
    <w:rsid w:val="00EE403F"/>
    <w:rsid w:val="00EF6A22"/>
    <w:rsid w:val="00F00999"/>
    <w:rsid w:val="00F00F34"/>
    <w:rsid w:val="00F0113D"/>
    <w:rsid w:val="00F03A75"/>
    <w:rsid w:val="00F03D28"/>
    <w:rsid w:val="00F1211C"/>
    <w:rsid w:val="00F22787"/>
    <w:rsid w:val="00F22902"/>
    <w:rsid w:val="00F25600"/>
    <w:rsid w:val="00F25F3F"/>
    <w:rsid w:val="00F3315A"/>
    <w:rsid w:val="00F348F8"/>
    <w:rsid w:val="00F36A1F"/>
    <w:rsid w:val="00F36B80"/>
    <w:rsid w:val="00F37A2F"/>
    <w:rsid w:val="00F52F37"/>
    <w:rsid w:val="00F5508C"/>
    <w:rsid w:val="00F579A3"/>
    <w:rsid w:val="00F607B8"/>
    <w:rsid w:val="00F63FE5"/>
    <w:rsid w:val="00F7174A"/>
    <w:rsid w:val="00F75B81"/>
    <w:rsid w:val="00FA70C0"/>
    <w:rsid w:val="00FB5983"/>
    <w:rsid w:val="00FB71ED"/>
    <w:rsid w:val="00FC09A9"/>
    <w:rsid w:val="00FC2BAD"/>
    <w:rsid w:val="00FD7D48"/>
    <w:rsid w:val="00FE1F8E"/>
    <w:rsid w:val="00FF27BF"/>
    <w:rsid w:val="00FF2FE9"/>
    <w:rsid w:val="00FF521B"/>
    <w:rsid w:val="00FF741E"/>
    <w:rsid w:val="02ED7EAF"/>
    <w:rsid w:val="03C568CD"/>
    <w:rsid w:val="0A04FD32"/>
    <w:rsid w:val="0B811CAC"/>
    <w:rsid w:val="0D49017F"/>
    <w:rsid w:val="0F5CFC8F"/>
    <w:rsid w:val="157BE9A5"/>
    <w:rsid w:val="157D04B5"/>
    <w:rsid w:val="1582436C"/>
    <w:rsid w:val="169F0D3F"/>
    <w:rsid w:val="1762C834"/>
    <w:rsid w:val="1A07A1A3"/>
    <w:rsid w:val="1BA79C5E"/>
    <w:rsid w:val="1C110173"/>
    <w:rsid w:val="1FE81A62"/>
    <w:rsid w:val="20496E6D"/>
    <w:rsid w:val="221D27D7"/>
    <w:rsid w:val="24B234C8"/>
    <w:rsid w:val="2523E127"/>
    <w:rsid w:val="2615CE3E"/>
    <w:rsid w:val="262A9701"/>
    <w:rsid w:val="26B4542B"/>
    <w:rsid w:val="283A0E35"/>
    <w:rsid w:val="2A0E54F6"/>
    <w:rsid w:val="2A1AAD0A"/>
    <w:rsid w:val="2A9F7C8A"/>
    <w:rsid w:val="2BEFAA42"/>
    <w:rsid w:val="2EC045DA"/>
    <w:rsid w:val="2FDAAFCC"/>
    <w:rsid w:val="2FEBB065"/>
    <w:rsid w:val="32951252"/>
    <w:rsid w:val="34C10AA4"/>
    <w:rsid w:val="37447B0E"/>
    <w:rsid w:val="39202F57"/>
    <w:rsid w:val="3D997D05"/>
    <w:rsid w:val="404CFF13"/>
    <w:rsid w:val="42D322B2"/>
    <w:rsid w:val="43F483B8"/>
    <w:rsid w:val="44E1F997"/>
    <w:rsid w:val="45C9B968"/>
    <w:rsid w:val="4A46D0C0"/>
    <w:rsid w:val="4A940DD1"/>
    <w:rsid w:val="4C00BA61"/>
    <w:rsid w:val="4DF8AB56"/>
    <w:rsid w:val="4DFE4344"/>
    <w:rsid w:val="508BD6F3"/>
    <w:rsid w:val="52AEE793"/>
    <w:rsid w:val="5358CAE8"/>
    <w:rsid w:val="570D02CD"/>
    <w:rsid w:val="57295E3D"/>
    <w:rsid w:val="585927D9"/>
    <w:rsid w:val="59145FA0"/>
    <w:rsid w:val="5DDC9D4F"/>
    <w:rsid w:val="5E9B8F0C"/>
    <w:rsid w:val="61684649"/>
    <w:rsid w:val="625792B1"/>
    <w:rsid w:val="648D92EA"/>
    <w:rsid w:val="64E76156"/>
    <w:rsid w:val="67148B4C"/>
    <w:rsid w:val="69F47E1A"/>
    <w:rsid w:val="6C014A4A"/>
    <w:rsid w:val="6C5C3E6F"/>
    <w:rsid w:val="6CAB75A5"/>
    <w:rsid w:val="70F41839"/>
    <w:rsid w:val="7327C91B"/>
    <w:rsid w:val="73E3C575"/>
    <w:rsid w:val="745B65D6"/>
    <w:rsid w:val="7565347A"/>
    <w:rsid w:val="77CD3C3F"/>
    <w:rsid w:val="7824F7E1"/>
    <w:rsid w:val="7A50E89B"/>
    <w:rsid w:val="7B2E143C"/>
    <w:rsid w:val="7BD898E6"/>
    <w:rsid w:val="7D3E9AB1"/>
    <w:rsid w:val="7D43DA6E"/>
    <w:rsid w:val="7E1CF649"/>
    <w:rsid w:val="7EA0DE6E"/>
    <w:rsid w:val="7EB8969B"/>
    <w:rsid w:val="7FF2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CD41"/>
  <w15:chartTrackingRefBased/>
  <w15:docId w15:val="{5BA79A8F-DC22-4B16-95B0-4AB2A467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E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E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79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578D2"/>
    <w:pPr>
      <w:spacing w:after="0" w:line="240" w:lineRule="auto"/>
    </w:pPr>
  </w:style>
  <w:style w:type="table" w:styleId="TableGrid">
    <w:name w:val="Table Grid"/>
    <w:basedOn w:val="TableNormal"/>
    <w:uiPriority w:val="39"/>
    <w:rsid w:val="00B2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0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nstauthority.blob.core.windows.net/external/Documents/NSTA_ArcGISOnline_Datasets_Lookup.xlsx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atanstauthority.blob.core.windows.net/external/Documents/NSTA_ArcGISOnline_InteractiveApps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endata-nstauthority.hub.arcgis.com/search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datanstauthority.blob.core.windows.net/external/Documents/NSTA_ArcGISOnline_Dataset_Schemas.xls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stauthority.maps.arcgis.com/home/index.html" TargetMode="External"/><Relationship Id="rId24" Type="http://schemas.openxmlformats.org/officeDocument/2006/relationships/hyperlink" Target="https://itportal.nstauthority.co.uk/information/licence_reports/offshorebylicenc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itportal.nstauthority.co.uk/edufox5live/fox/edu/WONS_WELLBORE_SEARCH_PUBLIC" TargetMode="External"/><Relationship Id="rId10" Type="http://schemas.openxmlformats.org/officeDocument/2006/relationships/hyperlink" Target="https://datanstauthority.blob.core.windows.net/external/Documents/NSTA_ArcGISOnline_InteractiveApps.xlsx" TargetMode="External"/><Relationship Id="rId19" Type="http://schemas.openxmlformats.org/officeDocument/2006/relationships/hyperlink" Target="https://datanstauthority.blob.core.windows.net/external/Documents/NSTA_ArcGISOnline_Datasets_Lookup.xls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atanstauthority.blob.core.windows.net/external/Documents/NSTA_ArcGISOnline_Dataset_Schemas.xlsx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nstauthority.co.uk/data-and-insights/insights-and-analysis/maps-and-dashbo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FAC9C77056B43B66A62E7C557A66A" ma:contentTypeVersion="13" ma:contentTypeDescription="Create a new document." ma:contentTypeScope="" ma:versionID="9959f5f7f3f4e4449917d5bc4d12cc4a">
  <xsd:schema xmlns:xsd="http://www.w3.org/2001/XMLSchema" xmlns:xs="http://www.w3.org/2001/XMLSchema" xmlns:p="http://schemas.microsoft.com/office/2006/metadata/properties" xmlns:ns2="736c9044-c9eb-49e2-8a7d-0c5e434f7b7a" xmlns:ns3="06df1642-3993-49fb-b562-928a14246735" targetNamespace="http://schemas.microsoft.com/office/2006/metadata/properties" ma:root="true" ma:fieldsID="778b6e87936581a0678830d240afb8f1" ns2:_="" ns3:_="">
    <xsd:import namespace="736c9044-c9eb-49e2-8a7d-0c5e434f7b7a"/>
    <xsd:import namespace="06df1642-3993-49fb-b562-928a14246735"/>
    <xsd:element name="properties">
      <xsd:complexType>
        <xsd:sequence>
          <xsd:element name="documentManagement">
            <xsd:complexType>
              <xsd:all>
                <xsd:element ref="ns2:k57ccee37f1247ec9ac23c4198c053b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9044-c9eb-49e2-8a7d-0c5e434f7b7a" elementFormDefault="qualified">
    <xsd:import namespace="http://schemas.microsoft.com/office/2006/documentManagement/types"/>
    <xsd:import namespace="http://schemas.microsoft.com/office/infopath/2007/PartnerControls"/>
    <xsd:element name="k57ccee37f1247ec9ac23c4198c053b8" ma:index="9" nillable="true" ma:taxonomy="true" ma:internalName="k57ccee37f1247ec9ac23c4198c053b8" ma:taxonomyFieldName="Tags" ma:displayName="Tags" ma:default="1;#GIS|c7d064b3-61be-46da-8101-62d0c7faf4d4" ma:fieldId="{457ccee3-7f12-47ec-9ac2-3c4198c053b8}" ma:taxonomyMulti="true" ma:sspId="3110710f-af1f-4457-9596-69bff0e43749" ma:termSetId="02adbe67-70d6-48c8-84ec-8dac6286e52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1642-3993-49fb-b562-928a1424673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c74d02-e116-4293-99a5-8c16508489f2}" ma:internalName="TaxCatchAll" ma:showField="CatchAllData" ma:web="06df1642-3993-49fb-b562-928a14246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7ccee37f1247ec9ac23c4198c053b8 xmlns="736c9044-c9eb-49e2-8a7d-0c5e434f7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GIS</TermName>
          <TermId xmlns="http://schemas.microsoft.com/office/infopath/2007/PartnerControls">c7d064b3-61be-46da-8101-62d0c7faf4d4</TermId>
        </TermInfo>
      </Terms>
    </k57ccee37f1247ec9ac23c4198c053b8>
    <TaxCatchAll xmlns="06df1642-3993-49fb-b562-928a14246735">
      <Value>1</Value>
    </TaxCatchAll>
  </documentManagement>
</p:properties>
</file>

<file path=customXml/itemProps1.xml><?xml version="1.0" encoding="utf-8"?>
<ds:datastoreItem xmlns:ds="http://schemas.openxmlformats.org/officeDocument/2006/customXml" ds:itemID="{3355D272-D94A-46EF-B566-2577C83D6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c9044-c9eb-49e2-8a7d-0c5e434f7b7a"/>
    <ds:schemaRef ds:uri="06df1642-3993-49fb-b562-928a14246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3D775-D63E-491E-A04F-6A4C095C6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2C844-327D-4CDE-8739-1D5498BC80F6}">
  <ds:schemaRefs>
    <ds:schemaRef ds:uri="http://schemas.microsoft.com/office/2006/metadata/properties"/>
    <ds:schemaRef ds:uri="http://schemas.microsoft.com/office/infopath/2007/PartnerControls"/>
    <ds:schemaRef ds:uri="736c9044-c9eb-49e2-8a7d-0c5e434f7b7a"/>
    <ds:schemaRef ds:uri="06df1642-3993-49fb-b562-928a14246735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3114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Oil and Gas Authority</Company>
  <LinksUpToDate>false</LinksUpToDate>
  <CharactersWithSpaces>3640</CharactersWithSpaces>
  <SharedDoc>false</SharedDoc>
  <HLinks>
    <vt:vector size="66" baseType="variant">
      <vt:variant>
        <vt:i4>917559</vt:i4>
      </vt:variant>
      <vt:variant>
        <vt:i4>30</vt:i4>
      </vt:variant>
      <vt:variant>
        <vt:i4>0</vt:i4>
      </vt:variant>
      <vt:variant>
        <vt:i4>5</vt:i4>
      </vt:variant>
      <vt:variant>
        <vt:lpwstr>https://itportal.nstauthority.co.uk/information/licence_reports/offshorebylicence.html</vt:lpwstr>
      </vt:variant>
      <vt:variant>
        <vt:lpwstr/>
      </vt:variant>
      <vt:variant>
        <vt:i4>97</vt:i4>
      </vt:variant>
      <vt:variant>
        <vt:i4>27</vt:i4>
      </vt:variant>
      <vt:variant>
        <vt:i4>0</vt:i4>
      </vt:variant>
      <vt:variant>
        <vt:i4>5</vt:i4>
      </vt:variant>
      <vt:variant>
        <vt:lpwstr>https://itportal.nstauthority.co.uk/edufox5live/fox/edu/WONS_WELLBORE_SEARCH_PUBLIC</vt:lpwstr>
      </vt:variant>
      <vt:variant>
        <vt:lpwstr/>
      </vt:variant>
      <vt:variant>
        <vt:i4>6553656</vt:i4>
      </vt:variant>
      <vt:variant>
        <vt:i4>24</vt:i4>
      </vt:variant>
      <vt:variant>
        <vt:i4>0</vt:i4>
      </vt:variant>
      <vt:variant>
        <vt:i4>5</vt:i4>
      </vt:variant>
      <vt:variant>
        <vt:lpwstr>https://www.nstauthority.co.uk/data-and-insights/insights-and-analysis/maps-and-dashboards/</vt:lpwstr>
      </vt:variant>
      <vt:variant>
        <vt:lpwstr/>
      </vt:variant>
      <vt:variant>
        <vt:i4>4128881</vt:i4>
      </vt:variant>
      <vt:variant>
        <vt:i4>21</vt:i4>
      </vt:variant>
      <vt:variant>
        <vt:i4>0</vt:i4>
      </vt:variant>
      <vt:variant>
        <vt:i4>5</vt:i4>
      </vt:variant>
      <vt:variant>
        <vt:lpwstr>https://datanstauthority.blob.core.windows.net/external/Documents/NSTA_ArcGISOnline_InteractiveApps.xlsx</vt:lpwstr>
      </vt:variant>
      <vt:variant>
        <vt:lpwstr/>
      </vt:variant>
      <vt:variant>
        <vt:i4>1769568</vt:i4>
      </vt:variant>
      <vt:variant>
        <vt:i4>18</vt:i4>
      </vt:variant>
      <vt:variant>
        <vt:i4>0</vt:i4>
      </vt:variant>
      <vt:variant>
        <vt:i4>5</vt:i4>
      </vt:variant>
      <vt:variant>
        <vt:lpwstr>https://datanstauthority.blob.core.windows.net/external/Documents/NSTA_ArcGISOnline_Dataset_Schemas.xlsx</vt:lpwstr>
      </vt:variant>
      <vt:variant>
        <vt:lpwstr/>
      </vt:variant>
      <vt:variant>
        <vt:i4>2490446</vt:i4>
      </vt:variant>
      <vt:variant>
        <vt:i4>15</vt:i4>
      </vt:variant>
      <vt:variant>
        <vt:i4>0</vt:i4>
      </vt:variant>
      <vt:variant>
        <vt:i4>5</vt:i4>
      </vt:variant>
      <vt:variant>
        <vt:lpwstr>https://datanstauthority.blob.core.windows.net/external/Documents/NSTA_ArcGISOnline_Datasets_Lookup.xlsx</vt:lpwstr>
      </vt:variant>
      <vt:variant>
        <vt:lpwstr/>
      </vt:variant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https://opendata-nstauthority.hub.arcgis.com/search</vt:lpwstr>
      </vt:variant>
      <vt:variant>
        <vt:lpwstr/>
      </vt:variant>
      <vt:variant>
        <vt:i4>4456450</vt:i4>
      </vt:variant>
      <vt:variant>
        <vt:i4>9</vt:i4>
      </vt:variant>
      <vt:variant>
        <vt:i4>0</vt:i4>
      </vt:variant>
      <vt:variant>
        <vt:i4>5</vt:i4>
      </vt:variant>
      <vt:variant>
        <vt:lpwstr>https://nstauthority.maps.arcgis.com/home/index.html</vt:lpwstr>
      </vt:variant>
      <vt:variant>
        <vt:lpwstr/>
      </vt:variant>
      <vt:variant>
        <vt:i4>4128881</vt:i4>
      </vt:variant>
      <vt:variant>
        <vt:i4>6</vt:i4>
      </vt:variant>
      <vt:variant>
        <vt:i4>0</vt:i4>
      </vt:variant>
      <vt:variant>
        <vt:i4>5</vt:i4>
      </vt:variant>
      <vt:variant>
        <vt:lpwstr>https://datanstauthority.blob.core.windows.net/external/Documents/NSTA_ArcGISOnline_InteractiveApps.xlsx</vt:lpwstr>
      </vt:variant>
      <vt:variant>
        <vt:lpwstr/>
      </vt:variant>
      <vt:variant>
        <vt:i4>1769568</vt:i4>
      </vt:variant>
      <vt:variant>
        <vt:i4>3</vt:i4>
      </vt:variant>
      <vt:variant>
        <vt:i4>0</vt:i4>
      </vt:variant>
      <vt:variant>
        <vt:i4>5</vt:i4>
      </vt:variant>
      <vt:variant>
        <vt:lpwstr>https://datanstauthority.blob.core.windows.net/external/Documents/NSTA_ArcGISOnline_Dataset_Schemas.xlsx</vt:lpwstr>
      </vt:variant>
      <vt:variant>
        <vt:lpwstr/>
      </vt:variant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https://datanstauthority.blob.core.windows.net/external/Documents/NSTA_ArcGISOnline_Datasets_Lookup.xlsx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Birch (North Sea Transition Authority)</dc:creator>
  <cp:keywords/>
  <dc:description/>
  <cp:lastModifiedBy>Egert Indres (North Sea Transition Authority)</cp:lastModifiedBy>
  <cp:revision>3</cp:revision>
  <dcterms:created xsi:type="dcterms:W3CDTF">2025-11-26T11:49:00Z</dcterms:created>
  <dcterms:modified xsi:type="dcterms:W3CDTF">2025-11-26T11:50:00Z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0x01010039CFAC9C77056B43B66A62E7C557A66A</vt:lpwstr>
  </property>
  <property fmtid="{D5CDD505-2E9C-101B-9397-08002B2CF9AE}" pid="3" name="Tags">
    <vt:lpwstr>1;#GIS|c7d064b3-61be-46da-8101-62d0c7faf4d4</vt:lpwstr>
  </property>
</Properties>
</file>